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22FE" w14:textId="11B9B9A2" w:rsidR="00CC50FD" w:rsidRDefault="00CC50FD" w:rsidP="00FA419B">
      <w:pPr>
        <w:jc w:val="both"/>
      </w:pPr>
      <w:r w:rsidRPr="00CC50FD">
        <w:rPr>
          <w:b/>
        </w:rPr>
        <w:t xml:space="preserve">Załącznik </w:t>
      </w:r>
      <w:r w:rsidR="00E772EA">
        <w:rPr>
          <w:b/>
        </w:rPr>
        <w:t>12.</w:t>
      </w:r>
      <w:bookmarkStart w:id="0" w:name="_GoBack"/>
      <w:bookmarkEnd w:id="0"/>
      <w:r w:rsidRPr="00CC50FD">
        <w:rPr>
          <w:b/>
        </w:rPr>
        <w:t>1 Konkurencyjność miast- rdzenie ŻŻOF</w:t>
      </w:r>
    </w:p>
    <w:p w14:paraId="2D5815DB" w14:textId="7652F6F6" w:rsidR="003E528D" w:rsidRPr="003E528D" w:rsidRDefault="003E528D" w:rsidP="00FA419B">
      <w:pPr>
        <w:jc w:val="both"/>
      </w:pPr>
      <w:r w:rsidRPr="003E528D">
        <w:t>Monitor Rozwoju lokalnego jest narzędziem analitycznym utworzonym przez Związek</w:t>
      </w:r>
      <w:r>
        <w:t xml:space="preserve"> Miast P</w:t>
      </w:r>
      <w:r w:rsidRPr="003E528D">
        <w:t>olskich</w:t>
      </w:r>
      <w:r>
        <w:t xml:space="preserve"> do wykorzystania w analizach strategicznych poziomu rozwoju gmin. Posługuje się zagregowanymi wskaźnikami dla 12 obszarów ujmując w nich stan obecny i dynamikę zmian wartości wskaźników. </w:t>
      </w:r>
      <w:r w:rsidR="00CC50FD">
        <w:t>Dają</w:t>
      </w:r>
      <w:r>
        <w:t xml:space="preserve"> one na tym poziomie ogólny pogląd na konkurencyjność gmin w tych obszarach i są wskazówką dla szczegółowych analiz wybranych obszarów.</w:t>
      </w:r>
    </w:p>
    <w:p w14:paraId="251E5329" w14:textId="77777777" w:rsidR="00FA419B" w:rsidRPr="003E528D" w:rsidRDefault="00FA419B" w:rsidP="00FA419B">
      <w:pPr>
        <w:jc w:val="both"/>
      </w:pPr>
      <w:r w:rsidRPr="003E528D">
        <w:t>Wykorzystując narzędzie MRL przeprowadzono analizę konkurencyjności Żar w 12 obszarach ujętych w MRL. Podsumowanie wykonanych analiz zawiera się w poniższej tabeli: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2693"/>
        <w:gridCol w:w="709"/>
        <w:gridCol w:w="850"/>
        <w:gridCol w:w="709"/>
      </w:tblGrid>
      <w:tr w:rsidR="00FA419B" w:rsidRPr="00CC50FD" w14:paraId="56A63B0F" w14:textId="77777777" w:rsidTr="00CC50FD">
        <w:trPr>
          <w:trHeight w:val="602"/>
        </w:trPr>
        <w:tc>
          <w:tcPr>
            <w:tcW w:w="1413" w:type="dxa"/>
            <w:vAlign w:val="center"/>
          </w:tcPr>
          <w:p w14:paraId="1769085D" w14:textId="77777777" w:rsidR="00FA419B" w:rsidRPr="00CC50FD" w:rsidRDefault="00FA419B" w:rsidP="003A106C">
            <w:pPr>
              <w:jc w:val="center"/>
              <w:rPr>
                <w:b/>
              </w:rPr>
            </w:pPr>
            <w:r w:rsidRPr="00CC50FD">
              <w:rPr>
                <w:b/>
              </w:rPr>
              <w:t>Obszar w MRL</w:t>
            </w:r>
          </w:p>
        </w:tc>
        <w:tc>
          <w:tcPr>
            <w:tcW w:w="2835" w:type="dxa"/>
            <w:vAlign w:val="center"/>
          </w:tcPr>
          <w:p w14:paraId="3372A1AA" w14:textId="77777777" w:rsidR="00FA419B" w:rsidRPr="00CC50FD" w:rsidRDefault="00FA419B" w:rsidP="003A106C">
            <w:pPr>
              <w:jc w:val="center"/>
              <w:rPr>
                <w:b/>
              </w:rPr>
            </w:pPr>
            <w:r w:rsidRPr="00CC50FD">
              <w:rPr>
                <w:b/>
              </w:rPr>
              <w:t>Wartość standaryzowana wskaźnika</w:t>
            </w:r>
          </w:p>
        </w:tc>
        <w:tc>
          <w:tcPr>
            <w:tcW w:w="2693" w:type="dxa"/>
            <w:vAlign w:val="center"/>
          </w:tcPr>
          <w:p w14:paraId="4FB0D458" w14:textId="77777777" w:rsidR="00FA419B" w:rsidRPr="00CC50FD" w:rsidRDefault="00FA419B" w:rsidP="003A106C">
            <w:pPr>
              <w:jc w:val="center"/>
              <w:rPr>
                <w:b/>
              </w:rPr>
            </w:pPr>
            <w:r w:rsidRPr="00CC50FD">
              <w:rPr>
                <w:b/>
              </w:rPr>
              <w:t>Dynamika wzrostu</w:t>
            </w:r>
          </w:p>
        </w:tc>
        <w:tc>
          <w:tcPr>
            <w:tcW w:w="709" w:type="dxa"/>
            <w:vAlign w:val="center"/>
          </w:tcPr>
          <w:p w14:paraId="4DCF08C9" w14:textId="77777777" w:rsidR="00FA419B" w:rsidRPr="00CC50FD" w:rsidRDefault="00FA419B" w:rsidP="003A106C">
            <w:pPr>
              <w:jc w:val="center"/>
              <w:rPr>
                <w:b/>
              </w:rPr>
            </w:pPr>
            <w:r w:rsidRPr="00CC50FD">
              <w:rPr>
                <w:b/>
              </w:rPr>
              <w:t>Żary</w:t>
            </w:r>
          </w:p>
        </w:tc>
        <w:tc>
          <w:tcPr>
            <w:tcW w:w="850" w:type="dxa"/>
            <w:vAlign w:val="center"/>
          </w:tcPr>
          <w:p w14:paraId="1A90F88A" w14:textId="77777777" w:rsidR="00FA419B" w:rsidRPr="00CC50FD" w:rsidRDefault="00FA419B" w:rsidP="003A106C">
            <w:pPr>
              <w:jc w:val="center"/>
              <w:rPr>
                <w:b/>
              </w:rPr>
            </w:pPr>
            <w:r w:rsidRPr="00CC50FD">
              <w:rPr>
                <w:b/>
              </w:rPr>
              <w:t>Żagań</w:t>
            </w:r>
          </w:p>
        </w:tc>
        <w:tc>
          <w:tcPr>
            <w:tcW w:w="709" w:type="dxa"/>
            <w:vAlign w:val="center"/>
          </w:tcPr>
          <w:p w14:paraId="469B80BA" w14:textId="77777777" w:rsidR="00FA419B" w:rsidRPr="00CC50FD" w:rsidRDefault="00FA419B" w:rsidP="003A106C">
            <w:pPr>
              <w:jc w:val="center"/>
              <w:rPr>
                <w:b/>
              </w:rPr>
            </w:pPr>
            <w:r w:rsidRPr="00CC50FD">
              <w:rPr>
                <w:b/>
              </w:rPr>
              <w:t>Nowa Sól</w:t>
            </w:r>
          </w:p>
        </w:tc>
      </w:tr>
      <w:tr w:rsidR="00FA419B" w:rsidRPr="00CC50FD" w14:paraId="37540135" w14:textId="77777777" w:rsidTr="00CC50FD">
        <w:trPr>
          <w:trHeight w:val="816"/>
        </w:trPr>
        <w:tc>
          <w:tcPr>
            <w:tcW w:w="1413" w:type="dxa"/>
            <w:vMerge w:val="restart"/>
            <w:shd w:val="clear" w:color="auto" w:fill="FFC000"/>
          </w:tcPr>
          <w:p w14:paraId="42347FF9" w14:textId="77777777" w:rsidR="00FA419B" w:rsidRPr="00CC50FD" w:rsidRDefault="00FA419B" w:rsidP="003A106C">
            <w:r w:rsidRPr="00CC50FD">
              <w:t>Obszar 1: Potencjał i konkurencyjność lokalnej gospodarki </w:t>
            </w:r>
          </w:p>
          <w:p w14:paraId="731E3EE8" w14:textId="77777777" w:rsidR="00FA419B" w:rsidRPr="00CC50FD" w:rsidRDefault="00FA419B" w:rsidP="003A106C"/>
        </w:tc>
        <w:tc>
          <w:tcPr>
            <w:tcW w:w="2835" w:type="dxa"/>
            <w:vMerge w:val="restart"/>
          </w:tcPr>
          <w:p w14:paraId="6A60471C" w14:textId="4A756372" w:rsidR="00FA419B" w:rsidRPr="00CC50FD" w:rsidRDefault="00FA419B" w:rsidP="003A106C">
            <w:r w:rsidRPr="00CC50FD">
              <w:t>Najwyższą wartością standaryzowaną wskaźnika charakteryzują się Żary, wyprzedzając znacznie Żagań i Nową Sól.</w:t>
            </w:r>
          </w:p>
        </w:tc>
        <w:tc>
          <w:tcPr>
            <w:tcW w:w="2693" w:type="dxa"/>
            <w:vMerge w:val="restart"/>
          </w:tcPr>
          <w:p w14:paraId="0A94EEB1" w14:textId="29C148FF" w:rsidR="00FA419B" w:rsidRPr="00CC50FD" w:rsidRDefault="00FA419B" w:rsidP="003A106C">
            <w:r w:rsidRPr="00CC50FD">
              <w:t>Najwyższą dynamiką wzrostu charakteryzuj</w:t>
            </w:r>
            <w:r w:rsidR="00230F2B" w:rsidRPr="00CC50FD">
              <w:t>ą</w:t>
            </w:r>
            <w:r w:rsidRPr="00CC50FD">
              <w:t xml:space="preserve"> się </w:t>
            </w:r>
            <w:r w:rsidR="00230F2B" w:rsidRPr="00CC50FD">
              <w:t>Żary</w:t>
            </w:r>
            <w:r w:rsidRPr="00CC50FD">
              <w:t>, któr</w:t>
            </w:r>
            <w:r w:rsidR="00230F2B" w:rsidRPr="00CC50FD">
              <w:t>e</w:t>
            </w:r>
            <w:r w:rsidRPr="00CC50FD">
              <w:t xml:space="preserve"> wyprzedza pod tym względem Żagań i Nową Sól. </w:t>
            </w:r>
          </w:p>
          <w:p w14:paraId="0E95B6E6" w14:textId="77777777" w:rsidR="00FA419B" w:rsidRPr="00CC50FD" w:rsidRDefault="00FA419B" w:rsidP="003A106C"/>
        </w:tc>
        <w:tc>
          <w:tcPr>
            <w:tcW w:w="709" w:type="dxa"/>
          </w:tcPr>
          <w:p w14:paraId="20964AAE" w14:textId="77777777" w:rsidR="00FA419B" w:rsidRPr="00CC50FD" w:rsidRDefault="00FA419B" w:rsidP="003A106C">
            <w:r w:rsidRPr="00CC50FD">
              <w:t>1</w:t>
            </w:r>
          </w:p>
          <w:p w14:paraId="40BBC6BC" w14:textId="77777777" w:rsidR="00FA419B" w:rsidRPr="00CC50FD" w:rsidRDefault="00FA419B" w:rsidP="003A106C">
            <w:r w:rsidRPr="00CC50FD">
              <w:t>1</w:t>
            </w:r>
          </w:p>
        </w:tc>
        <w:tc>
          <w:tcPr>
            <w:tcW w:w="850" w:type="dxa"/>
          </w:tcPr>
          <w:p w14:paraId="7EC3E5BF" w14:textId="77777777" w:rsidR="00FA419B" w:rsidRPr="00CC50FD" w:rsidRDefault="00FA419B" w:rsidP="003A106C">
            <w:r w:rsidRPr="00CC50FD">
              <w:t>2</w:t>
            </w:r>
          </w:p>
          <w:p w14:paraId="3C51CD38" w14:textId="77777777" w:rsidR="00FA419B" w:rsidRPr="00CC50FD" w:rsidRDefault="00FA419B" w:rsidP="003A106C">
            <w:r w:rsidRPr="00CC50FD">
              <w:t>2</w:t>
            </w:r>
          </w:p>
        </w:tc>
        <w:tc>
          <w:tcPr>
            <w:tcW w:w="709" w:type="dxa"/>
          </w:tcPr>
          <w:p w14:paraId="293AA880" w14:textId="77777777" w:rsidR="00FA419B" w:rsidRPr="00CC50FD" w:rsidRDefault="00FA419B" w:rsidP="003A106C">
            <w:r w:rsidRPr="00CC50FD">
              <w:t>3</w:t>
            </w:r>
          </w:p>
          <w:p w14:paraId="4A5EF118" w14:textId="77777777" w:rsidR="00FA419B" w:rsidRPr="00CC50FD" w:rsidRDefault="00FA419B" w:rsidP="003A106C">
            <w:r w:rsidRPr="00CC50FD">
              <w:t>3</w:t>
            </w:r>
          </w:p>
        </w:tc>
      </w:tr>
      <w:tr w:rsidR="00FA419B" w:rsidRPr="00CC50FD" w14:paraId="718A2171" w14:textId="77777777" w:rsidTr="00CC50FD">
        <w:trPr>
          <w:trHeight w:val="934"/>
        </w:trPr>
        <w:tc>
          <w:tcPr>
            <w:tcW w:w="1413" w:type="dxa"/>
            <w:vMerge/>
            <w:shd w:val="clear" w:color="auto" w:fill="FFC000"/>
          </w:tcPr>
          <w:p w14:paraId="2CBF1FC7" w14:textId="77777777" w:rsidR="00FA419B" w:rsidRPr="00CC50FD" w:rsidRDefault="00FA419B" w:rsidP="003A106C"/>
        </w:tc>
        <w:tc>
          <w:tcPr>
            <w:tcW w:w="2835" w:type="dxa"/>
            <w:vMerge/>
          </w:tcPr>
          <w:p w14:paraId="3B32E0BF" w14:textId="77777777" w:rsidR="00FA419B" w:rsidRPr="00CC50FD" w:rsidRDefault="00FA419B" w:rsidP="003A106C"/>
        </w:tc>
        <w:tc>
          <w:tcPr>
            <w:tcW w:w="2693" w:type="dxa"/>
            <w:vMerge/>
          </w:tcPr>
          <w:p w14:paraId="29E4D5DB" w14:textId="77777777" w:rsidR="00FA419B" w:rsidRPr="00CC50FD" w:rsidRDefault="00FA419B" w:rsidP="003A106C"/>
        </w:tc>
        <w:tc>
          <w:tcPr>
            <w:tcW w:w="709" w:type="dxa"/>
            <w:tcBorders>
              <w:bottom w:val="single" w:sz="4" w:space="0" w:color="auto"/>
            </w:tcBorders>
          </w:tcPr>
          <w:p w14:paraId="4AECFD90" w14:textId="77777777" w:rsidR="00FA419B" w:rsidRPr="00CC50FD" w:rsidRDefault="00FA419B" w:rsidP="003A106C">
            <w:pPr>
              <w:rPr>
                <w:b/>
                <w:bCs/>
              </w:rPr>
            </w:pPr>
            <w:r w:rsidRPr="00CC50FD">
              <w:rPr>
                <w:b/>
                <w:bCs/>
              </w:rPr>
              <w:t>2</w:t>
            </w:r>
          </w:p>
        </w:tc>
        <w:tc>
          <w:tcPr>
            <w:tcW w:w="850" w:type="dxa"/>
          </w:tcPr>
          <w:p w14:paraId="00C85056" w14:textId="77777777" w:rsidR="00FA419B" w:rsidRPr="00CC50FD" w:rsidRDefault="00FA419B" w:rsidP="003A106C">
            <w:pPr>
              <w:rPr>
                <w:b/>
                <w:bCs/>
              </w:rPr>
            </w:pPr>
            <w:r w:rsidRPr="00CC50FD">
              <w:rPr>
                <w:b/>
                <w:bCs/>
              </w:rPr>
              <w:t>4</w:t>
            </w:r>
          </w:p>
        </w:tc>
        <w:tc>
          <w:tcPr>
            <w:tcW w:w="709" w:type="dxa"/>
          </w:tcPr>
          <w:p w14:paraId="1FBEB09C" w14:textId="77777777" w:rsidR="00FA419B" w:rsidRPr="00CC50FD" w:rsidRDefault="00FA419B" w:rsidP="003A106C">
            <w:pPr>
              <w:rPr>
                <w:b/>
                <w:bCs/>
              </w:rPr>
            </w:pPr>
            <w:r w:rsidRPr="00CC50FD">
              <w:rPr>
                <w:b/>
                <w:bCs/>
              </w:rPr>
              <w:t>6</w:t>
            </w:r>
          </w:p>
        </w:tc>
      </w:tr>
      <w:tr w:rsidR="00FA419B" w:rsidRPr="00CC50FD" w14:paraId="122D5E18" w14:textId="77777777" w:rsidTr="00CC50FD">
        <w:trPr>
          <w:trHeight w:val="728"/>
        </w:trPr>
        <w:tc>
          <w:tcPr>
            <w:tcW w:w="1413" w:type="dxa"/>
            <w:vMerge w:val="restart"/>
            <w:shd w:val="clear" w:color="auto" w:fill="FFC000"/>
          </w:tcPr>
          <w:p w14:paraId="5B31F069" w14:textId="77777777" w:rsidR="00FA419B" w:rsidRPr="00CC50FD" w:rsidRDefault="00FA419B" w:rsidP="003A106C">
            <w:r w:rsidRPr="00CC50FD">
              <w:t>Obszar 2: Rynek pracy i kwalifikacje siły roboczej </w:t>
            </w:r>
          </w:p>
          <w:p w14:paraId="25E0D439" w14:textId="77777777" w:rsidR="00FA419B" w:rsidRPr="00CC50FD" w:rsidRDefault="00FA419B" w:rsidP="003A106C"/>
        </w:tc>
        <w:tc>
          <w:tcPr>
            <w:tcW w:w="2835" w:type="dxa"/>
            <w:vMerge w:val="restart"/>
          </w:tcPr>
          <w:p w14:paraId="3D3A4DA6" w14:textId="4F6F3A38" w:rsidR="00FA419B" w:rsidRPr="00CC50FD" w:rsidRDefault="00FA419B" w:rsidP="003A106C">
            <w:r w:rsidRPr="00CC50FD">
              <w:t>Za Żarami sklasyfikowany jest Żagań oraz Nowa Sól (wartość ujemna).</w:t>
            </w:r>
          </w:p>
        </w:tc>
        <w:tc>
          <w:tcPr>
            <w:tcW w:w="2693" w:type="dxa"/>
            <w:vMerge w:val="restart"/>
          </w:tcPr>
          <w:p w14:paraId="00C1A2F7" w14:textId="77777777" w:rsidR="00FA419B" w:rsidRPr="00CC50FD" w:rsidRDefault="00FA419B" w:rsidP="003A106C">
            <w:r w:rsidRPr="00CC50FD">
              <w:t>Żary pozostają na ostatnim miejscy. Wyprzedza je Żagań, Bolesławiec oraz Nowa Sól</w:t>
            </w:r>
          </w:p>
        </w:tc>
        <w:tc>
          <w:tcPr>
            <w:tcW w:w="709" w:type="dxa"/>
          </w:tcPr>
          <w:p w14:paraId="1F95800D" w14:textId="59AA7DD1" w:rsidR="00FA419B" w:rsidRPr="00CC50FD" w:rsidRDefault="00230F2B" w:rsidP="003A106C">
            <w:r w:rsidRPr="00CC50FD">
              <w:t>1</w:t>
            </w:r>
          </w:p>
          <w:p w14:paraId="455E2D8B" w14:textId="1A923EA2" w:rsidR="00FA419B" w:rsidRPr="00CC50FD" w:rsidRDefault="00230F2B" w:rsidP="003A106C">
            <w:r w:rsidRPr="00CC50FD">
              <w:t>3</w:t>
            </w:r>
          </w:p>
        </w:tc>
        <w:tc>
          <w:tcPr>
            <w:tcW w:w="850" w:type="dxa"/>
          </w:tcPr>
          <w:p w14:paraId="49060307" w14:textId="11B9E97F" w:rsidR="00FA419B" w:rsidRPr="00CC50FD" w:rsidRDefault="00230F2B" w:rsidP="003A106C">
            <w:r w:rsidRPr="00CC50FD">
              <w:t>2</w:t>
            </w:r>
          </w:p>
          <w:p w14:paraId="06AEF751" w14:textId="0CF1D489" w:rsidR="00FA419B" w:rsidRPr="00CC50FD" w:rsidRDefault="00230F2B" w:rsidP="003A106C">
            <w:r w:rsidRPr="00CC50FD">
              <w:t>1</w:t>
            </w:r>
          </w:p>
        </w:tc>
        <w:tc>
          <w:tcPr>
            <w:tcW w:w="709" w:type="dxa"/>
            <w:tcBorders>
              <w:bottom w:val="single" w:sz="4" w:space="0" w:color="auto"/>
            </w:tcBorders>
          </w:tcPr>
          <w:p w14:paraId="015294C1" w14:textId="31839504" w:rsidR="00FA419B" w:rsidRPr="00CC50FD" w:rsidRDefault="00230F2B" w:rsidP="003A106C">
            <w:r w:rsidRPr="00CC50FD">
              <w:t>3</w:t>
            </w:r>
          </w:p>
          <w:p w14:paraId="582157AD" w14:textId="425FBBCE" w:rsidR="00FA419B" w:rsidRPr="00CC50FD" w:rsidRDefault="00230F2B" w:rsidP="003A106C">
            <w:r w:rsidRPr="00CC50FD">
              <w:t>2</w:t>
            </w:r>
          </w:p>
        </w:tc>
      </w:tr>
      <w:tr w:rsidR="00FA419B" w:rsidRPr="00CC50FD" w14:paraId="6A86B1E8" w14:textId="77777777" w:rsidTr="00CC50FD">
        <w:trPr>
          <w:trHeight w:val="816"/>
        </w:trPr>
        <w:tc>
          <w:tcPr>
            <w:tcW w:w="1413" w:type="dxa"/>
            <w:vMerge/>
            <w:shd w:val="clear" w:color="auto" w:fill="FFC000"/>
          </w:tcPr>
          <w:p w14:paraId="717F8047" w14:textId="77777777" w:rsidR="00FA419B" w:rsidRPr="00CC50FD" w:rsidRDefault="00FA419B" w:rsidP="003A106C"/>
        </w:tc>
        <w:tc>
          <w:tcPr>
            <w:tcW w:w="2835" w:type="dxa"/>
            <w:vMerge/>
          </w:tcPr>
          <w:p w14:paraId="43692186" w14:textId="77777777" w:rsidR="00FA419B" w:rsidRPr="00CC50FD" w:rsidRDefault="00FA419B" w:rsidP="003A106C"/>
        </w:tc>
        <w:tc>
          <w:tcPr>
            <w:tcW w:w="2693" w:type="dxa"/>
            <w:vMerge/>
          </w:tcPr>
          <w:p w14:paraId="3337E3BA" w14:textId="77777777" w:rsidR="00FA419B" w:rsidRPr="00CC50FD" w:rsidRDefault="00FA419B" w:rsidP="003A106C"/>
        </w:tc>
        <w:tc>
          <w:tcPr>
            <w:tcW w:w="709" w:type="dxa"/>
          </w:tcPr>
          <w:p w14:paraId="02282C71" w14:textId="437DCCF4" w:rsidR="00FA419B" w:rsidRPr="00CC50FD" w:rsidRDefault="00230F2B" w:rsidP="003A106C">
            <w:pPr>
              <w:rPr>
                <w:b/>
                <w:bCs/>
              </w:rPr>
            </w:pPr>
            <w:r w:rsidRPr="00CC50FD">
              <w:rPr>
                <w:b/>
                <w:bCs/>
              </w:rPr>
              <w:t>4</w:t>
            </w:r>
          </w:p>
        </w:tc>
        <w:tc>
          <w:tcPr>
            <w:tcW w:w="850" w:type="dxa"/>
          </w:tcPr>
          <w:p w14:paraId="5A3DA4AB" w14:textId="659CD26B" w:rsidR="00FA419B" w:rsidRPr="00CC50FD" w:rsidRDefault="00230F2B" w:rsidP="003A106C">
            <w:pPr>
              <w:rPr>
                <w:b/>
                <w:bCs/>
              </w:rPr>
            </w:pPr>
            <w:r w:rsidRPr="00CC50FD">
              <w:rPr>
                <w:b/>
                <w:bCs/>
              </w:rPr>
              <w:t>3</w:t>
            </w:r>
          </w:p>
        </w:tc>
        <w:tc>
          <w:tcPr>
            <w:tcW w:w="709" w:type="dxa"/>
            <w:tcBorders>
              <w:bottom w:val="single" w:sz="4" w:space="0" w:color="auto"/>
            </w:tcBorders>
          </w:tcPr>
          <w:p w14:paraId="09E3281E" w14:textId="7FE09FCC" w:rsidR="00FA419B" w:rsidRPr="00CC50FD" w:rsidRDefault="00230F2B" w:rsidP="003A106C">
            <w:pPr>
              <w:rPr>
                <w:b/>
                <w:bCs/>
              </w:rPr>
            </w:pPr>
            <w:r w:rsidRPr="00CC50FD">
              <w:rPr>
                <w:b/>
                <w:bCs/>
              </w:rPr>
              <w:t>5</w:t>
            </w:r>
          </w:p>
        </w:tc>
      </w:tr>
      <w:tr w:rsidR="00FA419B" w:rsidRPr="00CC50FD" w14:paraId="5215BE60" w14:textId="77777777" w:rsidTr="00CC50FD">
        <w:trPr>
          <w:trHeight w:val="747"/>
        </w:trPr>
        <w:tc>
          <w:tcPr>
            <w:tcW w:w="1413" w:type="dxa"/>
            <w:vMerge w:val="restart"/>
          </w:tcPr>
          <w:p w14:paraId="4C63F529" w14:textId="77777777" w:rsidR="00FA419B" w:rsidRPr="00CC50FD" w:rsidRDefault="00FA419B" w:rsidP="003A106C">
            <w:r w:rsidRPr="00CC50FD">
              <w:t>Obszar 3: Sytuacja materialna mieszkańców </w:t>
            </w:r>
          </w:p>
          <w:p w14:paraId="31C1049B" w14:textId="77777777" w:rsidR="00FA419B" w:rsidRPr="00CC50FD" w:rsidRDefault="00FA419B" w:rsidP="003A106C"/>
        </w:tc>
        <w:tc>
          <w:tcPr>
            <w:tcW w:w="2835" w:type="dxa"/>
            <w:vMerge w:val="restart"/>
          </w:tcPr>
          <w:p w14:paraId="54DA7890" w14:textId="131FFC13" w:rsidR="00FA419B" w:rsidRPr="00CC50FD" w:rsidRDefault="00FA419B" w:rsidP="003A106C">
            <w:r w:rsidRPr="00CC50FD">
              <w:t>Żary, wyprzedzają znacznie Żagań i Nową Sól</w:t>
            </w:r>
          </w:p>
        </w:tc>
        <w:tc>
          <w:tcPr>
            <w:tcW w:w="2693" w:type="dxa"/>
            <w:vMerge w:val="restart"/>
          </w:tcPr>
          <w:p w14:paraId="5C500660" w14:textId="77777777" w:rsidR="00FA419B" w:rsidRPr="00CC50FD" w:rsidRDefault="00FA419B" w:rsidP="003A106C">
            <w:r w:rsidRPr="00CC50FD">
              <w:t>Nowa Sól, który wyprzedza pod tym względem Bolesławiec oraz Żary i Żagań</w:t>
            </w:r>
          </w:p>
        </w:tc>
        <w:tc>
          <w:tcPr>
            <w:tcW w:w="709" w:type="dxa"/>
          </w:tcPr>
          <w:p w14:paraId="05117775" w14:textId="77777777" w:rsidR="00FA419B" w:rsidRPr="00CC50FD" w:rsidRDefault="00FA419B" w:rsidP="003A106C">
            <w:r w:rsidRPr="00CC50FD">
              <w:t>1</w:t>
            </w:r>
          </w:p>
          <w:p w14:paraId="0A206A2C" w14:textId="788C78AA" w:rsidR="00FA419B" w:rsidRPr="00CC50FD" w:rsidRDefault="00230F2B" w:rsidP="003A106C">
            <w:r w:rsidRPr="00CC50FD">
              <w:t>2</w:t>
            </w:r>
          </w:p>
        </w:tc>
        <w:tc>
          <w:tcPr>
            <w:tcW w:w="850" w:type="dxa"/>
          </w:tcPr>
          <w:p w14:paraId="1895C2F9" w14:textId="4E393CBE" w:rsidR="00FA419B" w:rsidRPr="00CC50FD" w:rsidRDefault="00230F2B" w:rsidP="003A106C">
            <w:r w:rsidRPr="00CC50FD">
              <w:t>2</w:t>
            </w:r>
          </w:p>
          <w:p w14:paraId="44658BA5" w14:textId="65334194" w:rsidR="00FA419B" w:rsidRPr="00CC50FD" w:rsidRDefault="00230F2B" w:rsidP="003A106C">
            <w:r w:rsidRPr="00CC50FD">
              <w:t>3</w:t>
            </w:r>
          </w:p>
        </w:tc>
        <w:tc>
          <w:tcPr>
            <w:tcW w:w="709" w:type="dxa"/>
          </w:tcPr>
          <w:p w14:paraId="06AB13D5" w14:textId="0B177BC8" w:rsidR="00FA419B" w:rsidRPr="00CC50FD" w:rsidRDefault="00230F2B" w:rsidP="003A106C">
            <w:r w:rsidRPr="00CC50FD">
              <w:t>3</w:t>
            </w:r>
          </w:p>
          <w:p w14:paraId="6C249284" w14:textId="77777777" w:rsidR="00FA419B" w:rsidRPr="00CC50FD" w:rsidRDefault="00FA419B" w:rsidP="003A106C">
            <w:r w:rsidRPr="00CC50FD">
              <w:t>1</w:t>
            </w:r>
          </w:p>
        </w:tc>
      </w:tr>
      <w:tr w:rsidR="00FA419B" w:rsidRPr="00CC50FD" w14:paraId="607F2F24" w14:textId="77777777" w:rsidTr="00CC50FD">
        <w:trPr>
          <w:trHeight w:val="570"/>
        </w:trPr>
        <w:tc>
          <w:tcPr>
            <w:tcW w:w="1413" w:type="dxa"/>
            <w:vMerge/>
          </w:tcPr>
          <w:p w14:paraId="27353C6C" w14:textId="77777777" w:rsidR="00FA419B" w:rsidRPr="00CC50FD" w:rsidRDefault="00FA419B" w:rsidP="003A106C"/>
        </w:tc>
        <w:tc>
          <w:tcPr>
            <w:tcW w:w="2835" w:type="dxa"/>
            <w:vMerge/>
          </w:tcPr>
          <w:p w14:paraId="405BC304" w14:textId="77777777" w:rsidR="00FA419B" w:rsidRPr="00CC50FD" w:rsidRDefault="00FA419B" w:rsidP="003A106C"/>
        </w:tc>
        <w:tc>
          <w:tcPr>
            <w:tcW w:w="2693" w:type="dxa"/>
            <w:vMerge/>
          </w:tcPr>
          <w:p w14:paraId="1B554ABF" w14:textId="77777777" w:rsidR="00FA419B" w:rsidRPr="00CC50FD" w:rsidRDefault="00FA419B" w:rsidP="003A106C"/>
        </w:tc>
        <w:tc>
          <w:tcPr>
            <w:tcW w:w="709" w:type="dxa"/>
          </w:tcPr>
          <w:p w14:paraId="32213025" w14:textId="0D328817" w:rsidR="00FA419B" w:rsidRPr="00CC50FD" w:rsidRDefault="00230F2B" w:rsidP="003A106C">
            <w:pPr>
              <w:rPr>
                <w:b/>
                <w:bCs/>
              </w:rPr>
            </w:pPr>
            <w:r w:rsidRPr="00CC50FD">
              <w:rPr>
                <w:b/>
                <w:bCs/>
              </w:rPr>
              <w:t>3</w:t>
            </w:r>
          </w:p>
        </w:tc>
        <w:tc>
          <w:tcPr>
            <w:tcW w:w="850" w:type="dxa"/>
          </w:tcPr>
          <w:p w14:paraId="3E40BC1B" w14:textId="76D9AA5A" w:rsidR="00FA419B" w:rsidRPr="00CC50FD" w:rsidRDefault="00230F2B" w:rsidP="003A106C">
            <w:pPr>
              <w:rPr>
                <w:b/>
                <w:bCs/>
              </w:rPr>
            </w:pPr>
            <w:r w:rsidRPr="00CC50FD">
              <w:rPr>
                <w:b/>
                <w:bCs/>
              </w:rPr>
              <w:t>5</w:t>
            </w:r>
          </w:p>
        </w:tc>
        <w:tc>
          <w:tcPr>
            <w:tcW w:w="709" w:type="dxa"/>
          </w:tcPr>
          <w:p w14:paraId="547D2848" w14:textId="3AC738ED" w:rsidR="00FA419B" w:rsidRPr="00CC50FD" w:rsidRDefault="00230F2B" w:rsidP="003A106C">
            <w:pPr>
              <w:rPr>
                <w:b/>
                <w:bCs/>
              </w:rPr>
            </w:pPr>
            <w:r w:rsidRPr="00CC50FD">
              <w:rPr>
                <w:b/>
                <w:bCs/>
              </w:rPr>
              <w:t>4</w:t>
            </w:r>
          </w:p>
        </w:tc>
      </w:tr>
      <w:tr w:rsidR="00FA419B" w:rsidRPr="00CC50FD" w14:paraId="177C540C" w14:textId="77777777" w:rsidTr="00CC50FD">
        <w:trPr>
          <w:trHeight w:val="777"/>
        </w:trPr>
        <w:tc>
          <w:tcPr>
            <w:tcW w:w="1413" w:type="dxa"/>
            <w:vMerge w:val="restart"/>
            <w:shd w:val="clear" w:color="auto" w:fill="9CC2E5" w:themeFill="accent1" w:themeFillTint="99"/>
          </w:tcPr>
          <w:p w14:paraId="0A4061E1" w14:textId="77777777" w:rsidR="00FA419B" w:rsidRPr="00CC50FD" w:rsidRDefault="00FA419B" w:rsidP="003A106C">
            <w:r w:rsidRPr="00CC50FD">
              <w:t>Obszar 4: Stan finansów lokalnych (zdolność finansowania rozwoju) </w:t>
            </w:r>
          </w:p>
          <w:p w14:paraId="62F7BA7F" w14:textId="77777777" w:rsidR="00FA419B" w:rsidRPr="00CC50FD" w:rsidRDefault="00FA419B" w:rsidP="003A106C"/>
        </w:tc>
        <w:tc>
          <w:tcPr>
            <w:tcW w:w="2835" w:type="dxa"/>
            <w:vMerge w:val="restart"/>
          </w:tcPr>
          <w:p w14:paraId="54BA7819" w14:textId="043019CD" w:rsidR="00FA419B" w:rsidRPr="00CC50FD" w:rsidRDefault="00FA419B" w:rsidP="003A106C">
            <w:r w:rsidRPr="00CC50FD">
              <w:t>Żary  plasują się na drugim miejscu spośród miast porównawczych. Wyprzedza je Nowa Sól. Na ostatniej pozycji sklasyfikowany został Żagań</w:t>
            </w:r>
          </w:p>
        </w:tc>
        <w:tc>
          <w:tcPr>
            <w:tcW w:w="2693" w:type="dxa"/>
            <w:vMerge w:val="restart"/>
          </w:tcPr>
          <w:p w14:paraId="109E2862" w14:textId="63F78467" w:rsidR="00FA419B" w:rsidRPr="00CC50FD" w:rsidRDefault="00FA419B" w:rsidP="003A106C">
            <w:r w:rsidRPr="00CC50FD">
              <w:t>Żary są na drugiej pozycji, a znacznie wyprzedza je Nowa Sól, która lideruje stawce. Daleko w tyle (z wartościami ujemnymi) pozostaje  Żagań. </w:t>
            </w:r>
          </w:p>
          <w:p w14:paraId="1E7FEE27" w14:textId="77777777" w:rsidR="00FA419B" w:rsidRPr="00CC50FD" w:rsidRDefault="00FA419B" w:rsidP="003A106C"/>
        </w:tc>
        <w:tc>
          <w:tcPr>
            <w:tcW w:w="709" w:type="dxa"/>
          </w:tcPr>
          <w:p w14:paraId="2CE00AA3" w14:textId="77777777" w:rsidR="00FA419B" w:rsidRPr="00CC50FD" w:rsidRDefault="00FA419B" w:rsidP="003A106C">
            <w:r w:rsidRPr="00CC50FD">
              <w:t>2</w:t>
            </w:r>
          </w:p>
          <w:p w14:paraId="2A04D919" w14:textId="77777777" w:rsidR="00FA419B" w:rsidRPr="00CC50FD" w:rsidRDefault="00FA419B" w:rsidP="003A106C">
            <w:r w:rsidRPr="00CC50FD">
              <w:t>2</w:t>
            </w:r>
          </w:p>
        </w:tc>
        <w:tc>
          <w:tcPr>
            <w:tcW w:w="850" w:type="dxa"/>
          </w:tcPr>
          <w:p w14:paraId="17094B4F" w14:textId="2C95A6E3" w:rsidR="00FA419B" w:rsidRPr="00CC50FD" w:rsidRDefault="00230F2B" w:rsidP="003A106C">
            <w:r w:rsidRPr="00CC50FD">
              <w:t>3</w:t>
            </w:r>
          </w:p>
          <w:p w14:paraId="5A9AC427" w14:textId="5E28D132" w:rsidR="00FA419B" w:rsidRPr="00CC50FD" w:rsidRDefault="00230F2B" w:rsidP="003A106C">
            <w:r w:rsidRPr="00CC50FD">
              <w:t>3</w:t>
            </w:r>
          </w:p>
        </w:tc>
        <w:tc>
          <w:tcPr>
            <w:tcW w:w="709" w:type="dxa"/>
          </w:tcPr>
          <w:p w14:paraId="7E63FDAE" w14:textId="77777777" w:rsidR="00FA419B" w:rsidRPr="00CC50FD" w:rsidRDefault="00FA419B" w:rsidP="003A106C">
            <w:r w:rsidRPr="00CC50FD">
              <w:t>1</w:t>
            </w:r>
          </w:p>
          <w:p w14:paraId="5D080388" w14:textId="77777777" w:rsidR="00FA419B" w:rsidRPr="00CC50FD" w:rsidRDefault="00FA419B" w:rsidP="003A106C">
            <w:r w:rsidRPr="00CC50FD">
              <w:t>1</w:t>
            </w:r>
          </w:p>
        </w:tc>
      </w:tr>
      <w:tr w:rsidR="00FA419B" w:rsidRPr="00CC50FD" w14:paraId="52C2FD9E" w14:textId="77777777" w:rsidTr="00CC50FD">
        <w:trPr>
          <w:trHeight w:val="983"/>
        </w:trPr>
        <w:tc>
          <w:tcPr>
            <w:tcW w:w="1413" w:type="dxa"/>
            <w:vMerge/>
            <w:shd w:val="clear" w:color="auto" w:fill="9CC2E5" w:themeFill="accent1" w:themeFillTint="99"/>
          </w:tcPr>
          <w:p w14:paraId="17B10975" w14:textId="77777777" w:rsidR="00FA419B" w:rsidRPr="00CC50FD" w:rsidRDefault="00FA419B" w:rsidP="003A106C"/>
        </w:tc>
        <w:tc>
          <w:tcPr>
            <w:tcW w:w="2835" w:type="dxa"/>
            <w:vMerge/>
          </w:tcPr>
          <w:p w14:paraId="7DC490B6" w14:textId="77777777" w:rsidR="00FA419B" w:rsidRPr="00CC50FD" w:rsidRDefault="00FA419B" w:rsidP="003A106C"/>
        </w:tc>
        <w:tc>
          <w:tcPr>
            <w:tcW w:w="2693" w:type="dxa"/>
            <w:vMerge/>
          </w:tcPr>
          <w:p w14:paraId="78F093B2" w14:textId="77777777" w:rsidR="00FA419B" w:rsidRPr="00CC50FD" w:rsidRDefault="00FA419B" w:rsidP="003A106C"/>
        </w:tc>
        <w:tc>
          <w:tcPr>
            <w:tcW w:w="709" w:type="dxa"/>
          </w:tcPr>
          <w:p w14:paraId="405EFDFD" w14:textId="77777777" w:rsidR="00FA419B" w:rsidRPr="00CC50FD" w:rsidRDefault="00FA419B" w:rsidP="003A106C">
            <w:pPr>
              <w:rPr>
                <w:b/>
                <w:bCs/>
              </w:rPr>
            </w:pPr>
            <w:r w:rsidRPr="00CC50FD">
              <w:rPr>
                <w:b/>
                <w:bCs/>
              </w:rPr>
              <w:t>4</w:t>
            </w:r>
          </w:p>
        </w:tc>
        <w:tc>
          <w:tcPr>
            <w:tcW w:w="850" w:type="dxa"/>
          </w:tcPr>
          <w:p w14:paraId="1742A329" w14:textId="7A8B92F9" w:rsidR="00FA419B" w:rsidRPr="00CC50FD" w:rsidRDefault="00230F2B" w:rsidP="003A106C">
            <w:pPr>
              <w:rPr>
                <w:b/>
                <w:bCs/>
              </w:rPr>
            </w:pPr>
            <w:r w:rsidRPr="00CC50FD">
              <w:rPr>
                <w:b/>
                <w:bCs/>
              </w:rPr>
              <w:t>6</w:t>
            </w:r>
          </w:p>
        </w:tc>
        <w:tc>
          <w:tcPr>
            <w:tcW w:w="709" w:type="dxa"/>
          </w:tcPr>
          <w:p w14:paraId="727A23F9" w14:textId="77777777" w:rsidR="00FA419B" w:rsidRPr="00CC50FD" w:rsidRDefault="00FA419B" w:rsidP="003A106C">
            <w:pPr>
              <w:rPr>
                <w:b/>
                <w:bCs/>
              </w:rPr>
            </w:pPr>
            <w:r w:rsidRPr="00CC50FD">
              <w:rPr>
                <w:b/>
                <w:bCs/>
              </w:rPr>
              <w:t>2</w:t>
            </w:r>
          </w:p>
        </w:tc>
      </w:tr>
      <w:tr w:rsidR="00FA419B" w:rsidRPr="00CC50FD" w14:paraId="737D3244" w14:textId="77777777" w:rsidTr="00CC50FD">
        <w:trPr>
          <w:trHeight w:val="757"/>
        </w:trPr>
        <w:tc>
          <w:tcPr>
            <w:tcW w:w="1413" w:type="dxa"/>
            <w:vMerge w:val="restart"/>
          </w:tcPr>
          <w:p w14:paraId="1D888179" w14:textId="77777777" w:rsidR="00FA419B" w:rsidRPr="00CC50FD" w:rsidRDefault="00FA419B" w:rsidP="003A106C">
            <w:r w:rsidRPr="00CC50FD">
              <w:t xml:space="preserve">Obszar 5: Dostępność i jakość usług </w:t>
            </w:r>
            <w:r w:rsidRPr="00CC50FD">
              <w:lastRenderedPageBreak/>
              <w:t>oraz infrastruktury </w:t>
            </w:r>
          </w:p>
          <w:p w14:paraId="18DBC817" w14:textId="77777777" w:rsidR="00FA419B" w:rsidRPr="00CC50FD" w:rsidRDefault="00FA419B" w:rsidP="003A106C"/>
        </w:tc>
        <w:tc>
          <w:tcPr>
            <w:tcW w:w="2835" w:type="dxa"/>
            <w:vMerge w:val="restart"/>
          </w:tcPr>
          <w:p w14:paraId="4297D89F" w14:textId="4F64FBD0" w:rsidR="00FA419B" w:rsidRPr="00CC50FD" w:rsidRDefault="00FA419B" w:rsidP="003A106C">
            <w:r w:rsidRPr="00CC50FD">
              <w:lastRenderedPageBreak/>
              <w:t>Żary, wyprzedzają znacznie Nową Sól i Żagań</w:t>
            </w:r>
          </w:p>
        </w:tc>
        <w:tc>
          <w:tcPr>
            <w:tcW w:w="2693" w:type="dxa"/>
            <w:vMerge w:val="restart"/>
          </w:tcPr>
          <w:p w14:paraId="565E236D" w14:textId="6A299865" w:rsidR="00FA419B" w:rsidRPr="00CC50FD" w:rsidRDefault="00FA419B" w:rsidP="003A106C">
            <w:r w:rsidRPr="00CC50FD">
              <w:t> Żagań</w:t>
            </w:r>
            <w:r w:rsidR="00230F2B" w:rsidRPr="00CC50FD">
              <w:t xml:space="preserve"> wyprzedza</w:t>
            </w:r>
            <w:r w:rsidRPr="00CC50FD">
              <w:t xml:space="preserve"> Żary oraz Nową Sól</w:t>
            </w:r>
          </w:p>
        </w:tc>
        <w:tc>
          <w:tcPr>
            <w:tcW w:w="709" w:type="dxa"/>
          </w:tcPr>
          <w:p w14:paraId="7481FA5D" w14:textId="77777777" w:rsidR="00FA419B" w:rsidRPr="00CC50FD" w:rsidRDefault="00FA419B" w:rsidP="003A106C">
            <w:r w:rsidRPr="00CC50FD">
              <w:t>1</w:t>
            </w:r>
          </w:p>
          <w:p w14:paraId="396EC5F6" w14:textId="14E747D2" w:rsidR="00FA419B" w:rsidRPr="00CC50FD" w:rsidRDefault="00230F2B" w:rsidP="003A106C">
            <w:r w:rsidRPr="00CC50FD">
              <w:t>2</w:t>
            </w:r>
          </w:p>
        </w:tc>
        <w:tc>
          <w:tcPr>
            <w:tcW w:w="850" w:type="dxa"/>
          </w:tcPr>
          <w:p w14:paraId="69AD31BA" w14:textId="2C657A2F" w:rsidR="00FA419B" w:rsidRPr="00CC50FD" w:rsidRDefault="00230F2B" w:rsidP="003A106C">
            <w:r w:rsidRPr="00CC50FD">
              <w:t>3</w:t>
            </w:r>
          </w:p>
          <w:p w14:paraId="345991B9" w14:textId="30DB4DDF" w:rsidR="00FA419B" w:rsidRPr="00CC50FD" w:rsidRDefault="00230F2B" w:rsidP="003A106C">
            <w:r w:rsidRPr="00CC50FD">
              <w:t>1</w:t>
            </w:r>
          </w:p>
        </w:tc>
        <w:tc>
          <w:tcPr>
            <w:tcW w:w="709" w:type="dxa"/>
          </w:tcPr>
          <w:p w14:paraId="6B384849" w14:textId="0FCC297E" w:rsidR="00FA419B" w:rsidRPr="00CC50FD" w:rsidRDefault="00230F2B" w:rsidP="003A106C">
            <w:r w:rsidRPr="00CC50FD">
              <w:t>2</w:t>
            </w:r>
          </w:p>
          <w:p w14:paraId="693A0FCE" w14:textId="5E38FB2E" w:rsidR="00FA419B" w:rsidRPr="00CC50FD" w:rsidRDefault="00230F2B" w:rsidP="003A106C">
            <w:r w:rsidRPr="00CC50FD">
              <w:t>3</w:t>
            </w:r>
          </w:p>
        </w:tc>
      </w:tr>
      <w:tr w:rsidR="00FA419B" w:rsidRPr="00CC50FD" w14:paraId="5D5F1CA4" w14:textId="77777777" w:rsidTr="00CC50FD">
        <w:trPr>
          <w:trHeight w:val="787"/>
        </w:trPr>
        <w:tc>
          <w:tcPr>
            <w:tcW w:w="1413" w:type="dxa"/>
            <w:vMerge/>
          </w:tcPr>
          <w:p w14:paraId="24FE5224" w14:textId="77777777" w:rsidR="00FA419B" w:rsidRPr="00CC50FD" w:rsidRDefault="00FA419B" w:rsidP="003A106C"/>
        </w:tc>
        <w:tc>
          <w:tcPr>
            <w:tcW w:w="2835" w:type="dxa"/>
            <w:vMerge/>
          </w:tcPr>
          <w:p w14:paraId="4BA1F73C" w14:textId="77777777" w:rsidR="00FA419B" w:rsidRPr="00CC50FD" w:rsidRDefault="00FA419B" w:rsidP="003A106C"/>
        </w:tc>
        <w:tc>
          <w:tcPr>
            <w:tcW w:w="2693" w:type="dxa"/>
            <w:vMerge/>
          </w:tcPr>
          <w:p w14:paraId="1F968F91" w14:textId="77777777" w:rsidR="00FA419B" w:rsidRPr="00CC50FD" w:rsidRDefault="00FA419B" w:rsidP="003A106C"/>
        </w:tc>
        <w:tc>
          <w:tcPr>
            <w:tcW w:w="709" w:type="dxa"/>
          </w:tcPr>
          <w:p w14:paraId="6E0E6E30" w14:textId="31B8FE72" w:rsidR="00FA419B" w:rsidRPr="00CC50FD" w:rsidRDefault="00230F2B" w:rsidP="003A106C">
            <w:pPr>
              <w:rPr>
                <w:b/>
                <w:bCs/>
              </w:rPr>
            </w:pPr>
            <w:r w:rsidRPr="00CC50FD">
              <w:rPr>
                <w:b/>
                <w:bCs/>
              </w:rPr>
              <w:t>3</w:t>
            </w:r>
          </w:p>
        </w:tc>
        <w:tc>
          <w:tcPr>
            <w:tcW w:w="850" w:type="dxa"/>
          </w:tcPr>
          <w:p w14:paraId="3AA61056" w14:textId="05279C72" w:rsidR="00FA419B" w:rsidRPr="00CC50FD" w:rsidRDefault="00230F2B" w:rsidP="003A106C">
            <w:pPr>
              <w:rPr>
                <w:b/>
                <w:bCs/>
              </w:rPr>
            </w:pPr>
            <w:r w:rsidRPr="00CC50FD">
              <w:rPr>
                <w:b/>
                <w:bCs/>
              </w:rPr>
              <w:t>4</w:t>
            </w:r>
          </w:p>
        </w:tc>
        <w:tc>
          <w:tcPr>
            <w:tcW w:w="709" w:type="dxa"/>
          </w:tcPr>
          <w:p w14:paraId="0FCD9879" w14:textId="0F749AD0" w:rsidR="00FA419B" w:rsidRPr="00CC50FD" w:rsidRDefault="00230F2B" w:rsidP="003A106C">
            <w:pPr>
              <w:rPr>
                <w:b/>
                <w:bCs/>
              </w:rPr>
            </w:pPr>
            <w:r w:rsidRPr="00CC50FD">
              <w:rPr>
                <w:b/>
                <w:bCs/>
              </w:rPr>
              <w:t>5</w:t>
            </w:r>
          </w:p>
        </w:tc>
      </w:tr>
      <w:tr w:rsidR="00FA419B" w:rsidRPr="00CC50FD" w14:paraId="1B4FF9BA" w14:textId="77777777" w:rsidTr="00CC50FD">
        <w:trPr>
          <w:trHeight w:val="934"/>
        </w:trPr>
        <w:tc>
          <w:tcPr>
            <w:tcW w:w="1413" w:type="dxa"/>
            <w:vMerge w:val="restart"/>
            <w:shd w:val="clear" w:color="auto" w:fill="B4C6E7"/>
          </w:tcPr>
          <w:p w14:paraId="24DAB2BF" w14:textId="77777777" w:rsidR="00FA419B" w:rsidRPr="00CC50FD" w:rsidRDefault="00FA419B" w:rsidP="003A106C">
            <w:r w:rsidRPr="00CC50FD">
              <w:t>Obszar 6: Dostępność i jakość zasobów mieszkaniowych w gminie </w:t>
            </w:r>
          </w:p>
          <w:p w14:paraId="750803D4" w14:textId="77777777" w:rsidR="00FA419B" w:rsidRPr="00CC50FD" w:rsidRDefault="00FA419B" w:rsidP="003A106C"/>
        </w:tc>
        <w:tc>
          <w:tcPr>
            <w:tcW w:w="2835" w:type="dxa"/>
            <w:vMerge w:val="restart"/>
          </w:tcPr>
          <w:p w14:paraId="4F87CFEE" w14:textId="2E36EFA8" w:rsidR="00FA419B" w:rsidRPr="00CC50FD" w:rsidRDefault="00FA419B" w:rsidP="003A106C">
            <w:r w:rsidRPr="00CC50FD">
              <w:t xml:space="preserve"> Za Żarami sklasyfikowany jest Żagań oraz Nowa Sól.</w:t>
            </w:r>
          </w:p>
        </w:tc>
        <w:tc>
          <w:tcPr>
            <w:tcW w:w="2693" w:type="dxa"/>
            <w:vMerge w:val="restart"/>
          </w:tcPr>
          <w:p w14:paraId="2840B74D" w14:textId="195B197F" w:rsidR="00FA419B" w:rsidRPr="00CC50FD" w:rsidRDefault="00FA419B" w:rsidP="003A106C">
            <w:r w:rsidRPr="00CC50FD">
              <w:t>Żary wraz z Żaganiem pozostają na ostatnim miejscy. Wyprzedza je Nowa Sól. </w:t>
            </w:r>
          </w:p>
        </w:tc>
        <w:tc>
          <w:tcPr>
            <w:tcW w:w="709" w:type="dxa"/>
          </w:tcPr>
          <w:p w14:paraId="55C4D6A5" w14:textId="7D7C06C9" w:rsidR="00FA419B" w:rsidRPr="00CC50FD" w:rsidRDefault="00D9739F" w:rsidP="003A106C">
            <w:r w:rsidRPr="00CC50FD">
              <w:t>1</w:t>
            </w:r>
          </w:p>
          <w:p w14:paraId="7B6B5154" w14:textId="77777777" w:rsidR="00FA419B" w:rsidRPr="00CC50FD" w:rsidRDefault="00FA419B" w:rsidP="003A106C">
            <w:r w:rsidRPr="00CC50FD">
              <w:t>3</w:t>
            </w:r>
          </w:p>
        </w:tc>
        <w:tc>
          <w:tcPr>
            <w:tcW w:w="850" w:type="dxa"/>
          </w:tcPr>
          <w:p w14:paraId="5F1BF81A" w14:textId="729844E6" w:rsidR="00FA419B" w:rsidRPr="00CC50FD" w:rsidRDefault="00D9739F" w:rsidP="003A106C">
            <w:r w:rsidRPr="00CC50FD">
              <w:t>2</w:t>
            </w:r>
          </w:p>
          <w:p w14:paraId="4F09EF8F" w14:textId="77777777" w:rsidR="00FA419B" w:rsidRPr="00CC50FD" w:rsidRDefault="00FA419B" w:rsidP="003A106C">
            <w:r w:rsidRPr="00CC50FD">
              <w:t>3</w:t>
            </w:r>
          </w:p>
        </w:tc>
        <w:tc>
          <w:tcPr>
            <w:tcW w:w="709" w:type="dxa"/>
          </w:tcPr>
          <w:p w14:paraId="4B38334A" w14:textId="237DC9B6" w:rsidR="00FA419B" w:rsidRPr="00CC50FD" w:rsidRDefault="00D9739F" w:rsidP="003A106C">
            <w:r w:rsidRPr="00CC50FD">
              <w:t>3</w:t>
            </w:r>
          </w:p>
          <w:p w14:paraId="46147EC4" w14:textId="1B3F6DF4" w:rsidR="00FA419B" w:rsidRPr="00CC50FD" w:rsidRDefault="00D9739F" w:rsidP="003A106C">
            <w:r w:rsidRPr="00CC50FD">
              <w:t>1</w:t>
            </w:r>
          </w:p>
        </w:tc>
      </w:tr>
      <w:tr w:rsidR="00FA419B" w:rsidRPr="00CC50FD" w14:paraId="3E5B88EB" w14:textId="77777777" w:rsidTr="00CC50FD">
        <w:trPr>
          <w:trHeight w:val="826"/>
        </w:trPr>
        <w:tc>
          <w:tcPr>
            <w:tcW w:w="1413" w:type="dxa"/>
            <w:vMerge/>
            <w:shd w:val="clear" w:color="auto" w:fill="B4C6E7"/>
          </w:tcPr>
          <w:p w14:paraId="662C03D9" w14:textId="77777777" w:rsidR="00FA419B" w:rsidRPr="00CC50FD" w:rsidRDefault="00FA419B" w:rsidP="003A106C"/>
        </w:tc>
        <w:tc>
          <w:tcPr>
            <w:tcW w:w="2835" w:type="dxa"/>
            <w:vMerge/>
          </w:tcPr>
          <w:p w14:paraId="419C8D46" w14:textId="77777777" w:rsidR="00FA419B" w:rsidRPr="00CC50FD" w:rsidRDefault="00FA419B" w:rsidP="003A106C"/>
        </w:tc>
        <w:tc>
          <w:tcPr>
            <w:tcW w:w="2693" w:type="dxa"/>
            <w:vMerge/>
          </w:tcPr>
          <w:p w14:paraId="2DE4906C" w14:textId="77777777" w:rsidR="00FA419B" w:rsidRPr="00CC50FD" w:rsidRDefault="00FA419B" w:rsidP="003A106C"/>
        </w:tc>
        <w:tc>
          <w:tcPr>
            <w:tcW w:w="709" w:type="dxa"/>
          </w:tcPr>
          <w:p w14:paraId="3485387B" w14:textId="56D8FF21" w:rsidR="00FA419B" w:rsidRPr="00CC50FD" w:rsidRDefault="00D9739F" w:rsidP="003A106C">
            <w:pPr>
              <w:rPr>
                <w:b/>
                <w:bCs/>
              </w:rPr>
            </w:pPr>
            <w:r w:rsidRPr="00CC50FD">
              <w:rPr>
                <w:b/>
                <w:bCs/>
              </w:rPr>
              <w:t>4</w:t>
            </w:r>
          </w:p>
        </w:tc>
        <w:tc>
          <w:tcPr>
            <w:tcW w:w="850" w:type="dxa"/>
          </w:tcPr>
          <w:p w14:paraId="75D497D4" w14:textId="3DE96457" w:rsidR="00FA419B" w:rsidRPr="00CC50FD" w:rsidRDefault="00D9739F" w:rsidP="003A106C">
            <w:pPr>
              <w:rPr>
                <w:b/>
                <w:bCs/>
              </w:rPr>
            </w:pPr>
            <w:r w:rsidRPr="00CC50FD">
              <w:rPr>
                <w:b/>
                <w:bCs/>
              </w:rPr>
              <w:t>5</w:t>
            </w:r>
          </w:p>
        </w:tc>
        <w:tc>
          <w:tcPr>
            <w:tcW w:w="709" w:type="dxa"/>
          </w:tcPr>
          <w:p w14:paraId="77D1955A" w14:textId="4F42C501" w:rsidR="00FA419B" w:rsidRPr="00CC50FD" w:rsidRDefault="00D9739F" w:rsidP="003A106C">
            <w:pPr>
              <w:rPr>
                <w:b/>
                <w:bCs/>
              </w:rPr>
            </w:pPr>
            <w:r w:rsidRPr="00CC50FD">
              <w:rPr>
                <w:b/>
                <w:bCs/>
              </w:rPr>
              <w:t>4</w:t>
            </w:r>
          </w:p>
        </w:tc>
      </w:tr>
      <w:tr w:rsidR="00FA419B" w:rsidRPr="00CC50FD" w14:paraId="259C6E81" w14:textId="77777777" w:rsidTr="00CC50FD">
        <w:trPr>
          <w:trHeight w:val="983"/>
        </w:trPr>
        <w:tc>
          <w:tcPr>
            <w:tcW w:w="1413" w:type="dxa"/>
            <w:vMerge w:val="restart"/>
          </w:tcPr>
          <w:p w14:paraId="58A07683" w14:textId="77777777" w:rsidR="00FA419B" w:rsidRPr="00CC50FD" w:rsidRDefault="00FA419B" w:rsidP="003A106C">
            <w:r w:rsidRPr="00CC50FD">
              <w:t>Obszar 7: Zasoby instytucjonalne, integracja i kapitał społeczny gminy </w:t>
            </w:r>
          </w:p>
          <w:p w14:paraId="1EEF62F2" w14:textId="77777777" w:rsidR="00FA419B" w:rsidRPr="00CC50FD" w:rsidRDefault="00FA419B" w:rsidP="003A106C"/>
        </w:tc>
        <w:tc>
          <w:tcPr>
            <w:tcW w:w="2835" w:type="dxa"/>
            <w:vMerge w:val="restart"/>
          </w:tcPr>
          <w:p w14:paraId="60B3B235" w14:textId="2CD2CDD9" w:rsidR="00FA419B" w:rsidRPr="00CC50FD" w:rsidRDefault="00FA419B" w:rsidP="003A106C">
            <w:r w:rsidRPr="00CC50FD">
              <w:t xml:space="preserve">Żary wraz z Żaganiem plasują się na </w:t>
            </w:r>
            <w:r w:rsidR="00D9739F" w:rsidRPr="00CC50FD">
              <w:t xml:space="preserve">pierwszym </w:t>
            </w:r>
            <w:r w:rsidRPr="00CC50FD">
              <w:t>miejscu spośród miast porównawczych</w:t>
            </w:r>
            <w:r w:rsidR="00D9739F" w:rsidRPr="00CC50FD">
              <w:t>.</w:t>
            </w:r>
            <w:r w:rsidRPr="00CC50FD">
              <w:t> Na ostatnim miejscu pozostaje Nowa Sól.</w:t>
            </w:r>
          </w:p>
        </w:tc>
        <w:tc>
          <w:tcPr>
            <w:tcW w:w="2693" w:type="dxa"/>
            <w:vMerge w:val="restart"/>
          </w:tcPr>
          <w:p w14:paraId="68C8825A" w14:textId="68E3629F" w:rsidR="00FA419B" w:rsidRPr="00CC50FD" w:rsidRDefault="00FA419B" w:rsidP="003A106C">
            <w:r w:rsidRPr="00CC50FD">
              <w:t>Żary zajmują przedostatnie miejsce, wyprzedzając jedynie Żagań. Wyprzedza je zdecydowanie Nowa Sól (lider)</w:t>
            </w:r>
            <w:r w:rsidR="00D9739F" w:rsidRPr="00CC50FD">
              <w:t>.</w:t>
            </w:r>
          </w:p>
        </w:tc>
        <w:tc>
          <w:tcPr>
            <w:tcW w:w="709" w:type="dxa"/>
          </w:tcPr>
          <w:p w14:paraId="6F3DB47F" w14:textId="5E9FCA14" w:rsidR="00FA419B" w:rsidRPr="00CC50FD" w:rsidRDefault="00D9739F" w:rsidP="003A106C">
            <w:r w:rsidRPr="00CC50FD">
              <w:t>1</w:t>
            </w:r>
          </w:p>
          <w:p w14:paraId="2D426B5E" w14:textId="1A3875B5" w:rsidR="00FA419B" w:rsidRPr="00CC50FD" w:rsidRDefault="00D9739F" w:rsidP="003A106C">
            <w:r w:rsidRPr="00CC50FD">
              <w:t>2</w:t>
            </w:r>
          </w:p>
        </w:tc>
        <w:tc>
          <w:tcPr>
            <w:tcW w:w="850" w:type="dxa"/>
          </w:tcPr>
          <w:p w14:paraId="681DB91B" w14:textId="460770CE" w:rsidR="00FA419B" w:rsidRPr="00CC50FD" w:rsidRDefault="00D9739F" w:rsidP="003A106C">
            <w:r w:rsidRPr="00CC50FD">
              <w:t>1</w:t>
            </w:r>
          </w:p>
          <w:p w14:paraId="57533758" w14:textId="75966A6F" w:rsidR="00FA419B" w:rsidRPr="00CC50FD" w:rsidRDefault="00D9739F" w:rsidP="003A106C">
            <w:r w:rsidRPr="00CC50FD">
              <w:t>3</w:t>
            </w:r>
          </w:p>
        </w:tc>
        <w:tc>
          <w:tcPr>
            <w:tcW w:w="709" w:type="dxa"/>
          </w:tcPr>
          <w:p w14:paraId="2E7F1272" w14:textId="267F68AD" w:rsidR="00FA419B" w:rsidRPr="00CC50FD" w:rsidRDefault="00D9739F" w:rsidP="003A106C">
            <w:r w:rsidRPr="00CC50FD">
              <w:t>3</w:t>
            </w:r>
          </w:p>
          <w:p w14:paraId="5BF37355" w14:textId="77777777" w:rsidR="00FA419B" w:rsidRPr="00CC50FD" w:rsidRDefault="00FA419B" w:rsidP="003A106C">
            <w:r w:rsidRPr="00CC50FD">
              <w:t>1</w:t>
            </w:r>
          </w:p>
        </w:tc>
      </w:tr>
      <w:tr w:rsidR="00FA419B" w:rsidRPr="00CC50FD" w14:paraId="3907CBA5" w14:textId="77777777" w:rsidTr="00CC50FD">
        <w:trPr>
          <w:trHeight w:val="993"/>
        </w:trPr>
        <w:tc>
          <w:tcPr>
            <w:tcW w:w="1413" w:type="dxa"/>
            <w:vMerge/>
          </w:tcPr>
          <w:p w14:paraId="7D48108B" w14:textId="77777777" w:rsidR="00FA419B" w:rsidRPr="00CC50FD" w:rsidRDefault="00FA419B" w:rsidP="003A106C"/>
        </w:tc>
        <w:tc>
          <w:tcPr>
            <w:tcW w:w="2835" w:type="dxa"/>
            <w:vMerge/>
          </w:tcPr>
          <w:p w14:paraId="50AFA1DA" w14:textId="77777777" w:rsidR="00FA419B" w:rsidRPr="00CC50FD" w:rsidRDefault="00FA419B" w:rsidP="003A106C"/>
        </w:tc>
        <w:tc>
          <w:tcPr>
            <w:tcW w:w="2693" w:type="dxa"/>
            <w:vMerge/>
          </w:tcPr>
          <w:p w14:paraId="7CE0FDAF" w14:textId="77777777" w:rsidR="00FA419B" w:rsidRPr="00CC50FD" w:rsidRDefault="00FA419B" w:rsidP="003A106C"/>
        </w:tc>
        <w:tc>
          <w:tcPr>
            <w:tcW w:w="709" w:type="dxa"/>
          </w:tcPr>
          <w:p w14:paraId="5E712C71" w14:textId="506A6679" w:rsidR="00FA419B" w:rsidRPr="00CC50FD" w:rsidRDefault="00D9739F" w:rsidP="003A106C">
            <w:pPr>
              <w:rPr>
                <w:b/>
                <w:bCs/>
              </w:rPr>
            </w:pPr>
            <w:r w:rsidRPr="00CC50FD">
              <w:rPr>
                <w:b/>
                <w:bCs/>
              </w:rPr>
              <w:t>3</w:t>
            </w:r>
          </w:p>
        </w:tc>
        <w:tc>
          <w:tcPr>
            <w:tcW w:w="850" w:type="dxa"/>
          </w:tcPr>
          <w:p w14:paraId="36C2CD48" w14:textId="58EE4FA2" w:rsidR="00FA419B" w:rsidRPr="00CC50FD" w:rsidRDefault="00D9739F" w:rsidP="003A106C">
            <w:pPr>
              <w:rPr>
                <w:b/>
                <w:bCs/>
              </w:rPr>
            </w:pPr>
            <w:r w:rsidRPr="00CC50FD">
              <w:rPr>
                <w:b/>
                <w:bCs/>
              </w:rPr>
              <w:t>4</w:t>
            </w:r>
          </w:p>
        </w:tc>
        <w:tc>
          <w:tcPr>
            <w:tcW w:w="709" w:type="dxa"/>
          </w:tcPr>
          <w:p w14:paraId="6A4A2203" w14:textId="32BE31D7" w:rsidR="00FA419B" w:rsidRPr="00CC50FD" w:rsidRDefault="00D9739F" w:rsidP="003A106C">
            <w:pPr>
              <w:rPr>
                <w:b/>
                <w:bCs/>
              </w:rPr>
            </w:pPr>
            <w:r w:rsidRPr="00CC50FD">
              <w:rPr>
                <w:b/>
                <w:bCs/>
              </w:rPr>
              <w:t>4</w:t>
            </w:r>
          </w:p>
        </w:tc>
      </w:tr>
      <w:tr w:rsidR="00FA419B" w:rsidRPr="00CC50FD" w14:paraId="4E9B6300" w14:textId="77777777" w:rsidTr="00CC50FD">
        <w:trPr>
          <w:trHeight w:val="718"/>
        </w:trPr>
        <w:tc>
          <w:tcPr>
            <w:tcW w:w="1413" w:type="dxa"/>
            <w:vMerge w:val="restart"/>
            <w:shd w:val="clear" w:color="auto" w:fill="auto"/>
          </w:tcPr>
          <w:p w14:paraId="7B1C4AC3" w14:textId="77777777" w:rsidR="00FA419B" w:rsidRPr="00CC50FD" w:rsidRDefault="00FA419B" w:rsidP="003A106C">
            <w:r w:rsidRPr="00CC50FD">
              <w:t>Obszar 8: Poziom bezpieczeństwa </w:t>
            </w:r>
          </w:p>
          <w:p w14:paraId="076D022B" w14:textId="77777777" w:rsidR="00FA419B" w:rsidRPr="00CC50FD" w:rsidRDefault="00FA419B" w:rsidP="003A106C"/>
        </w:tc>
        <w:tc>
          <w:tcPr>
            <w:tcW w:w="2835" w:type="dxa"/>
            <w:vMerge w:val="restart"/>
          </w:tcPr>
          <w:p w14:paraId="7BF8F1AD" w14:textId="591983DE" w:rsidR="00FA419B" w:rsidRPr="00CC50FD" w:rsidRDefault="00FA419B" w:rsidP="003A106C">
            <w:r w:rsidRPr="00CC50FD">
              <w:t>Żary plasują się na pierwszym miejscu spośród miast porównawczych, wyprzedzając kolejno Żagań, Nową Sól</w:t>
            </w:r>
            <w:r w:rsidR="00D9739F" w:rsidRPr="00CC50FD">
              <w:t>.</w:t>
            </w:r>
          </w:p>
        </w:tc>
        <w:tc>
          <w:tcPr>
            <w:tcW w:w="2693" w:type="dxa"/>
            <w:vMerge w:val="restart"/>
          </w:tcPr>
          <w:p w14:paraId="185C73AF" w14:textId="191A4337" w:rsidR="00FA419B" w:rsidRPr="00CC50FD" w:rsidRDefault="00FA419B" w:rsidP="003A106C">
            <w:r w:rsidRPr="00CC50FD">
              <w:t>Żary zajmują również pierwsze miejsce, wyprzedzając znacznie Nową Sól i Żagań. </w:t>
            </w:r>
          </w:p>
          <w:p w14:paraId="2DCEC18A" w14:textId="77777777" w:rsidR="00FA419B" w:rsidRPr="00CC50FD" w:rsidRDefault="00FA419B" w:rsidP="003A106C"/>
        </w:tc>
        <w:tc>
          <w:tcPr>
            <w:tcW w:w="709" w:type="dxa"/>
          </w:tcPr>
          <w:p w14:paraId="6FE3911D" w14:textId="77777777" w:rsidR="00FA419B" w:rsidRPr="00CC50FD" w:rsidRDefault="00FA419B" w:rsidP="003A106C">
            <w:r w:rsidRPr="00CC50FD">
              <w:t>1</w:t>
            </w:r>
          </w:p>
          <w:p w14:paraId="0842F867" w14:textId="77777777" w:rsidR="00FA419B" w:rsidRPr="00CC50FD" w:rsidRDefault="00FA419B" w:rsidP="003A106C">
            <w:r w:rsidRPr="00CC50FD">
              <w:t>1</w:t>
            </w:r>
          </w:p>
        </w:tc>
        <w:tc>
          <w:tcPr>
            <w:tcW w:w="850" w:type="dxa"/>
          </w:tcPr>
          <w:p w14:paraId="0C404C6E" w14:textId="77777777" w:rsidR="00FA419B" w:rsidRPr="00CC50FD" w:rsidRDefault="00FA419B" w:rsidP="003A106C">
            <w:r w:rsidRPr="00CC50FD">
              <w:t>2</w:t>
            </w:r>
          </w:p>
          <w:p w14:paraId="19C0D69B" w14:textId="78B4FCD2" w:rsidR="00FA419B" w:rsidRPr="00CC50FD" w:rsidRDefault="00D9739F" w:rsidP="003A106C">
            <w:r w:rsidRPr="00CC50FD">
              <w:t>3</w:t>
            </w:r>
          </w:p>
        </w:tc>
        <w:tc>
          <w:tcPr>
            <w:tcW w:w="709" w:type="dxa"/>
          </w:tcPr>
          <w:p w14:paraId="15F5A618" w14:textId="77777777" w:rsidR="00FA419B" w:rsidRPr="00CC50FD" w:rsidRDefault="00FA419B" w:rsidP="003A106C">
            <w:r w:rsidRPr="00CC50FD">
              <w:t>3</w:t>
            </w:r>
          </w:p>
          <w:p w14:paraId="0BF19986" w14:textId="77777777" w:rsidR="00FA419B" w:rsidRPr="00CC50FD" w:rsidRDefault="00FA419B" w:rsidP="003A106C">
            <w:r w:rsidRPr="00CC50FD">
              <w:t>2</w:t>
            </w:r>
          </w:p>
        </w:tc>
      </w:tr>
      <w:tr w:rsidR="00FA419B" w:rsidRPr="00CC50FD" w14:paraId="1934D9B1" w14:textId="77777777" w:rsidTr="00CC50FD">
        <w:trPr>
          <w:trHeight w:val="600"/>
        </w:trPr>
        <w:tc>
          <w:tcPr>
            <w:tcW w:w="1413" w:type="dxa"/>
            <w:vMerge/>
            <w:shd w:val="clear" w:color="auto" w:fill="auto"/>
          </w:tcPr>
          <w:p w14:paraId="3A31CF1E" w14:textId="77777777" w:rsidR="00FA419B" w:rsidRPr="00CC50FD" w:rsidRDefault="00FA419B" w:rsidP="003A106C"/>
        </w:tc>
        <w:tc>
          <w:tcPr>
            <w:tcW w:w="2835" w:type="dxa"/>
            <w:vMerge/>
          </w:tcPr>
          <w:p w14:paraId="23E37CC1" w14:textId="77777777" w:rsidR="00FA419B" w:rsidRPr="00CC50FD" w:rsidRDefault="00FA419B" w:rsidP="003A106C"/>
        </w:tc>
        <w:tc>
          <w:tcPr>
            <w:tcW w:w="2693" w:type="dxa"/>
            <w:vMerge/>
          </w:tcPr>
          <w:p w14:paraId="6935BD32" w14:textId="77777777" w:rsidR="00FA419B" w:rsidRPr="00CC50FD" w:rsidRDefault="00FA419B" w:rsidP="003A106C"/>
        </w:tc>
        <w:tc>
          <w:tcPr>
            <w:tcW w:w="709" w:type="dxa"/>
          </w:tcPr>
          <w:p w14:paraId="4DA81323" w14:textId="77777777" w:rsidR="00FA419B" w:rsidRPr="00CC50FD" w:rsidRDefault="00FA419B" w:rsidP="003A106C">
            <w:pPr>
              <w:rPr>
                <w:b/>
                <w:bCs/>
              </w:rPr>
            </w:pPr>
            <w:r w:rsidRPr="00CC50FD">
              <w:rPr>
                <w:b/>
                <w:bCs/>
              </w:rPr>
              <w:t>2</w:t>
            </w:r>
          </w:p>
        </w:tc>
        <w:tc>
          <w:tcPr>
            <w:tcW w:w="850" w:type="dxa"/>
          </w:tcPr>
          <w:p w14:paraId="43F2F5BD" w14:textId="79EA2236" w:rsidR="00FA419B" w:rsidRPr="00CC50FD" w:rsidRDefault="00D9739F" w:rsidP="003A106C">
            <w:pPr>
              <w:rPr>
                <w:b/>
                <w:bCs/>
              </w:rPr>
            </w:pPr>
            <w:r w:rsidRPr="00CC50FD">
              <w:rPr>
                <w:b/>
                <w:bCs/>
              </w:rPr>
              <w:t>5</w:t>
            </w:r>
          </w:p>
        </w:tc>
        <w:tc>
          <w:tcPr>
            <w:tcW w:w="709" w:type="dxa"/>
          </w:tcPr>
          <w:p w14:paraId="5ACA2D33" w14:textId="77777777" w:rsidR="00FA419B" w:rsidRPr="00CC50FD" w:rsidRDefault="00FA419B" w:rsidP="003A106C">
            <w:pPr>
              <w:rPr>
                <w:b/>
                <w:bCs/>
              </w:rPr>
            </w:pPr>
            <w:r w:rsidRPr="00CC50FD">
              <w:rPr>
                <w:b/>
                <w:bCs/>
              </w:rPr>
              <w:t>5</w:t>
            </w:r>
          </w:p>
        </w:tc>
      </w:tr>
      <w:tr w:rsidR="00FA419B" w:rsidRPr="00CC50FD" w14:paraId="6A6D3172" w14:textId="77777777" w:rsidTr="00CC50FD">
        <w:trPr>
          <w:trHeight w:val="698"/>
        </w:trPr>
        <w:tc>
          <w:tcPr>
            <w:tcW w:w="1413" w:type="dxa"/>
            <w:vMerge w:val="restart"/>
            <w:shd w:val="clear" w:color="auto" w:fill="auto"/>
          </w:tcPr>
          <w:p w14:paraId="1B901ED0" w14:textId="77777777" w:rsidR="00FA419B" w:rsidRPr="00CC50FD" w:rsidRDefault="00FA419B" w:rsidP="003A106C">
            <w:r w:rsidRPr="00CC50FD">
              <w:t>Obszar 9: Sytuacja demograficzna </w:t>
            </w:r>
          </w:p>
          <w:p w14:paraId="02FADE4B" w14:textId="77777777" w:rsidR="00FA419B" w:rsidRPr="00CC50FD" w:rsidRDefault="00FA419B" w:rsidP="003A106C"/>
        </w:tc>
        <w:tc>
          <w:tcPr>
            <w:tcW w:w="2835" w:type="dxa"/>
            <w:vMerge w:val="restart"/>
          </w:tcPr>
          <w:p w14:paraId="6D2E96B8" w14:textId="72923010" w:rsidR="00FA419B" w:rsidRPr="00CC50FD" w:rsidRDefault="00FA419B" w:rsidP="003A106C">
            <w:r w:rsidRPr="00CC50FD">
              <w:t>Żary plasują się na pierwszym miejscu spośród miast porównawczych, wyprzedzając kolejno Nową Sól i Żagań.</w:t>
            </w:r>
          </w:p>
        </w:tc>
        <w:tc>
          <w:tcPr>
            <w:tcW w:w="2693" w:type="dxa"/>
            <w:vMerge w:val="restart"/>
          </w:tcPr>
          <w:p w14:paraId="2F5908E2" w14:textId="45803B38" w:rsidR="00FA419B" w:rsidRPr="00CC50FD" w:rsidRDefault="00FA419B" w:rsidP="003A106C">
            <w:r w:rsidRPr="00CC50FD">
              <w:t>Żary zajmują również pierwsze miejsce, wyprzedzając znacznie  Nową Sól i Żagań. </w:t>
            </w:r>
          </w:p>
          <w:p w14:paraId="05B69036" w14:textId="77777777" w:rsidR="00FA419B" w:rsidRPr="00CC50FD" w:rsidRDefault="00FA419B" w:rsidP="003A106C"/>
        </w:tc>
        <w:tc>
          <w:tcPr>
            <w:tcW w:w="709" w:type="dxa"/>
          </w:tcPr>
          <w:p w14:paraId="47C70D62" w14:textId="77777777" w:rsidR="00FA419B" w:rsidRPr="00CC50FD" w:rsidRDefault="00FA419B" w:rsidP="003A106C">
            <w:r w:rsidRPr="00CC50FD">
              <w:t>1</w:t>
            </w:r>
          </w:p>
          <w:p w14:paraId="3A59310F" w14:textId="77777777" w:rsidR="00FA419B" w:rsidRPr="00CC50FD" w:rsidRDefault="00FA419B" w:rsidP="003A106C">
            <w:r w:rsidRPr="00CC50FD">
              <w:t>1</w:t>
            </w:r>
          </w:p>
        </w:tc>
        <w:tc>
          <w:tcPr>
            <w:tcW w:w="850" w:type="dxa"/>
          </w:tcPr>
          <w:p w14:paraId="0ABBD8BB" w14:textId="0678E83E" w:rsidR="00FA419B" w:rsidRPr="00CC50FD" w:rsidRDefault="00D9739F" w:rsidP="003A106C">
            <w:r w:rsidRPr="00CC50FD">
              <w:t>3</w:t>
            </w:r>
          </w:p>
          <w:p w14:paraId="63762DF6" w14:textId="25F15FCE" w:rsidR="00FA419B" w:rsidRPr="00CC50FD" w:rsidRDefault="00D9739F" w:rsidP="003A106C">
            <w:r w:rsidRPr="00CC50FD">
              <w:t>3</w:t>
            </w:r>
          </w:p>
          <w:p w14:paraId="47CE20C4" w14:textId="77777777" w:rsidR="00FA419B" w:rsidRPr="00CC50FD" w:rsidRDefault="00FA419B" w:rsidP="003A106C"/>
        </w:tc>
        <w:tc>
          <w:tcPr>
            <w:tcW w:w="709" w:type="dxa"/>
          </w:tcPr>
          <w:p w14:paraId="49CBD658" w14:textId="77777777" w:rsidR="00FA419B" w:rsidRPr="00CC50FD" w:rsidRDefault="00FA419B" w:rsidP="003A106C">
            <w:r w:rsidRPr="00CC50FD">
              <w:t>2</w:t>
            </w:r>
          </w:p>
          <w:p w14:paraId="2BEAD153" w14:textId="50CC4966" w:rsidR="00FA419B" w:rsidRPr="00CC50FD" w:rsidRDefault="00D9739F" w:rsidP="003A106C">
            <w:r w:rsidRPr="00CC50FD">
              <w:t>2</w:t>
            </w:r>
          </w:p>
        </w:tc>
      </w:tr>
      <w:tr w:rsidR="00FA419B" w:rsidRPr="00CC50FD" w14:paraId="49F6ED4D" w14:textId="77777777" w:rsidTr="00CC50FD">
        <w:trPr>
          <w:trHeight w:val="619"/>
        </w:trPr>
        <w:tc>
          <w:tcPr>
            <w:tcW w:w="1413" w:type="dxa"/>
            <w:vMerge/>
            <w:shd w:val="clear" w:color="auto" w:fill="auto"/>
          </w:tcPr>
          <w:p w14:paraId="7A0EC983" w14:textId="77777777" w:rsidR="00FA419B" w:rsidRPr="00CC50FD" w:rsidRDefault="00FA419B" w:rsidP="003A106C"/>
        </w:tc>
        <w:tc>
          <w:tcPr>
            <w:tcW w:w="2835" w:type="dxa"/>
            <w:vMerge/>
          </w:tcPr>
          <w:p w14:paraId="2455A465" w14:textId="77777777" w:rsidR="00FA419B" w:rsidRPr="00CC50FD" w:rsidRDefault="00FA419B" w:rsidP="003A106C"/>
        </w:tc>
        <w:tc>
          <w:tcPr>
            <w:tcW w:w="2693" w:type="dxa"/>
            <w:vMerge/>
          </w:tcPr>
          <w:p w14:paraId="04908FA3" w14:textId="77777777" w:rsidR="00FA419B" w:rsidRPr="00CC50FD" w:rsidRDefault="00FA419B" w:rsidP="003A106C"/>
        </w:tc>
        <w:tc>
          <w:tcPr>
            <w:tcW w:w="709" w:type="dxa"/>
          </w:tcPr>
          <w:p w14:paraId="38E304A1" w14:textId="77777777" w:rsidR="00FA419B" w:rsidRPr="00CC50FD" w:rsidRDefault="00FA419B" w:rsidP="003A106C">
            <w:pPr>
              <w:rPr>
                <w:b/>
                <w:bCs/>
              </w:rPr>
            </w:pPr>
            <w:r w:rsidRPr="00CC50FD">
              <w:rPr>
                <w:b/>
                <w:bCs/>
              </w:rPr>
              <w:t>2</w:t>
            </w:r>
          </w:p>
        </w:tc>
        <w:tc>
          <w:tcPr>
            <w:tcW w:w="850" w:type="dxa"/>
          </w:tcPr>
          <w:p w14:paraId="783578F7" w14:textId="59288019" w:rsidR="00FA419B" w:rsidRPr="00CC50FD" w:rsidRDefault="00D9739F" w:rsidP="003A106C">
            <w:pPr>
              <w:rPr>
                <w:b/>
                <w:bCs/>
              </w:rPr>
            </w:pPr>
            <w:r w:rsidRPr="00CC50FD">
              <w:rPr>
                <w:b/>
                <w:bCs/>
              </w:rPr>
              <w:t>6</w:t>
            </w:r>
          </w:p>
        </w:tc>
        <w:tc>
          <w:tcPr>
            <w:tcW w:w="709" w:type="dxa"/>
          </w:tcPr>
          <w:p w14:paraId="366E8BD3" w14:textId="4EDA3E7B" w:rsidR="00FA419B" w:rsidRPr="00CC50FD" w:rsidRDefault="00D9739F" w:rsidP="003A106C">
            <w:pPr>
              <w:rPr>
                <w:b/>
                <w:bCs/>
              </w:rPr>
            </w:pPr>
            <w:r w:rsidRPr="00CC50FD">
              <w:rPr>
                <w:b/>
                <w:bCs/>
              </w:rPr>
              <w:t>4</w:t>
            </w:r>
          </w:p>
        </w:tc>
      </w:tr>
      <w:tr w:rsidR="00FA419B" w:rsidRPr="00CC50FD" w14:paraId="18F5DB33" w14:textId="77777777" w:rsidTr="00CC50FD">
        <w:trPr>
          <w:trHeight w:val="914"/>
        </w:trPr>
        <w:tc>
          <w:tcPr>
            <w:tcW w:w="1413" w:type="dxa"/>
            <w:vMerge w:val="restart"/>
            <w:shd w:val="clear" w:color="auto" w:fill="9CC2E5" w:themeFill="accent1" w:themeFillTint="99"/>
          </w:tcPr>
          <w:p w14:paraId="20FA8009" w14:textId="77777777" w:rsidR="00FA419B" w:rsidRPr="00CC50FD" w:rsidRDefault="00FA419B" w:rsidP="003A106C">
            <w:r w:rsidRPr="00CC50FD">
              <w:t>Obszar 10: Dostępność komunikacyjna (zewnętrzna i wewnętrzna) </w:t>
            </w:r>
          </w:p>
          <w:p w14:paraId="450EA3AC" w14:textId="77777777" w:rsidR="00FA419B" w:rsidRPr="00CC50FD" w:rsidRDefault="00FA419B" w:rsidP="003A106C"/>
        </w:tc>
        <w:tc>
          <w:tcPr>
            <w:tcW w:w="2835" w:type="dxa"/>
            <w:vMerge w:val="restart"/>
          </w:tcPr>
          <w:p w14:paraId="5DA9E57C" w14:textId="3D7DD337" w:rsidR="00FA419B" w:rsidRPr="00CC50FD" w:rsidRDefault="00FA419B" w:rsidP="003A106C">
            <w:r w:rsidRPr="00CC50FD">
              <w:t xml:space="preserve">Żary plasują się na </w:t>
            </w:r>
            <w:r w:rsidR="00D9739F" w:rsidRPr="00CC50FD">
              <w:t xml:space="preserve">drugim </w:t>
            </w:r>
            <w:r w:rsidRPr="00CC50FD">
              <w:t>miejscu spośród miast porównawczych. Wyprzedza je zdecydowanie Nowa Sól</w:t>
            </w:r>
            <w:r w:rsidR="00D9739F" w:rsidRPr="00CC50FD">
              <w:t xml:space="preserve">. </w:t>
            </w:r>
            <w:r w:rsidRPr="00CC50FD">
              <w:t xml:space="preserve"> Za Żarami sklasyfikowany jest Żagań (wartość ujemna).</w:t>
            </w:r>
          </w:p>
        </w:tc>
        <w:tc>
          <w:tcPr>
            <w:tcW w:w="2693" w:type="dxa"/>
            <w:vMerge w:val="restart"/>
          </w:tcPr>
          <w:p w14:paraId="74101160" w14:textId="2B8395EE" w:rsidR="00FA419B" w:rsidRPr="00CC50FD" w:rsidRDefault="00FA419B" w:rsidP="003A106C">
            <w:r w:rsidRPr="00CC50FD">
              <w:t xml:space="preserve"> Żary pozostają na ostatnim miejscy (wartość ujemna). Wyprzedza je Nowa Sól (lider) oraz Żagań (wartość ujemna). </w:t>
            </w:r>
          </w:p>
          <w:p w14:paraId="27777E8C" w14:textId="77777777" w:rsidR="00FA419B" w:rsidRPr="00CC50FD" w:rsidRDefault="00FA419B" w:rsidP="003A106C"/>
        </w:tc>
        <w:tc>
          <w:tcPr>
            <w:tcW w:w="709" w:type="dxa"/>
          </w:tcPr>
          <w:p w14:paraId="2E3E7F47" w14:textId="5C310AC1" w:rsidR="00FA419B" w:rsidRPr="00CC50FD" w:rsidRDefault="00D9739F" w:rsidP="003A106C">
            <w:r w:rsidRPr="00CC50FD">
              <w:t>2</w:t>
            </w:r>
          </w:p>
          <w:p w14:paraId="2EA58609" w14:textId="670D0490" w:rsidR="00FA419B" w:rsidRPr="00CC50FD" w:rsidRDefault="00D9739F" w:rsidP="003A106C">
            <w:r w:rsidRPr="00CC50FD">
              <w:t>3</w:t>
            </w:r>
          </w:p>
        </w:tc>
        <w:tc>
          <w:tcPr>
            <w:tcW w:w="850" w:type="dxa"/>
          </w:tcPr>
          <w:p w14:paraId="1F13C670" w14:textId="38ACF6C1" w:rsidR="00FA419B" w:rsidRPr="00CC50FD" w:rsidRDefault="00D9739F" w:rsidP="003A106C">
            <w:r w:rsidRPr="00CC50FD">
              <w:t>3</w:t>
            </w:r>
          </w:p>
          <w:p w14:paraId="54B06EE2" w14:textId="744590E7" w:rsidR="00FA419B" w:rsidRPr="00CC50FD" w:rsidRDefault="00D9739F" w:rsidP="003A106C">
            <w:r w:rsidRPr="00CC50FD">
              <w:t>2</w:t>
            </w:r>
          </w:p>
        </w:tc>
        <w:tc>
          <w:tcPr>
            <w:tcW w:w="709" w:type="dxa"/>
          </w:tcPr>
          <w:p w14:paraId="0F9AB6C9" w14:textId="77777777" w:rsidR="00FA419B" w:rsidRPr="00CC50FD" w:rsidRDefault="00FA419B" w:rsidP="003A106C">
            <w:r w:rsidRPr="00CC50FD">
              <w:t>1</w:t>
            </w:r>
          </w:p>
          <w:p w14:paraId="3D62F8F6" w14:textId="77777777" w:rsidR="00FA419B" w:rsidRPr="00CC50FD" w:rsidRDefault="00FA419B" w:rsidP="003A106C">
            <w:r w:rsidRPr="00CC50FD">
              <w:t>1</w:t>
            </w:r>
          </w:p>
        </w:tc>
      </w:tr>
      <w:tr w:rsidR="00FA419B" w:rsidRPr="00CC50FD" w14:paraId="42579B73" w14:textId="77777777" w:rsidTr="00CC50FD">
        <w:trPr>
          <w:trHeight w:val="846"/>
        </w:trPr>
        <w:tc>
          <w:tcPr>
            <w:tcW w:w="1413" w:type="dxa"/>
            <w:vMerge/>
            <w:shd w:val="clear" w:color="auto" w:fill="9CC2E5" w:themeFill="accent1" w:themeFillTint="99"/>
          </w:tcPr>
          <w:p w14:paraId="2AE6E13C" w14:textId="77777777" w:rsidR="00FA419B" w:rsidRPr="00CC50FD" w:rsidRDefault="00FA419B" w:rsidP="003A106C"/>
        </w:tc>
        <w:tc>
          <w:tcPr>
            <w:tcW w:w="2835" w:type="dxa"/>
            <w:vMerge/>
          </w:tcPr>
          <w:p w14:paraId="765B8CFD" w14:textId="77777777" w:rsidR="00FA419B" w:rsidRPr="00CC50FD" w:rsidRDefault="00FA419B" w:rsidP="003A106C"/>
        </w:tc>
        <w:tc>
          <w:tcPr>
            <w:tcW w:w="2693" w:type="dxa"/>
            <w:vMerge/>
          </w:tcPr>
          <w:p w14:paraId="313CD014" w14:textId="77777777" w:rsidR="00FA419B" w:rsidRPr="00CC50FD" w:rsidRDefault="00FA419B" w:rsidP="003A106C"/>
        </w:tc>
        <w:tc>
          <w:tcPr>
            <w:tcW w:w="709" w:type="dxa"/>
          </w:tcPr>
          <w:p w14:paraId="05076703" w14:textId="21C2F864" w:rsidR="00FA419B" w:rsidRPr="00CC50FD" w:rsidRDefault="00D9739F" w:rsidP="003A106C">
            <w:pPr>
              <w:rPr>
                <w:b/>
                <w:bCs/>
              </w:rPr>
            </w:pPr>
            <w:r w:rsidRPr="00CC50FD">
              <w:rPr>
                <w:b/>
                <w:bCs/>
              </w:rPr>
              <w:t>5</w:t>
            </w:r>
          </w:p>
        </w:tc>
        <w:tc>
          <w:tcPr>
            <w:tcW w:w="850" w:type="dxa"/>
          </w:tcPr>
          <w:p w14:paraId="0807861B" w14:textId="0EF5F242" w:rsidR="00FA419B" w:rsidRPr="00CC50FD" w:rsidRDefault="00D9739F" w:rsidP="003A106C">
            <w:pPr>
              <w:rPr>
                <w:b/>
                <w:bCs/>
              </w:rPr>
            </w:pPr>
            <w:r w:rsidRPr="00CC50FD">
              <w:rPr>
                <w:b/>
                <w:bCs/>
              </w:rPr>
              <w:t>5</w:t>
            </w:r>
          </w:p>
        </w:tc>
        <w:tc>
          <w:tcPr>
            <w:tcW w:w="709" w:type="dxa"/>
          </w:tcPr>
          <w:p w14:paraId="23B06D23" w14:textId="77777777" w:rsidR="00FA419B" w:rsidRPr="00CC50FD" w:rsidRDefault="00FA419B" w:rsidP="003A106C">
            <w:pPr>
              <w:rPr>
                <w:b/>
                <w:bCs/>
              </w:rPr>
            </w:pPr>
            <w:r w:rsidRPr="00CC50FD">
              <w:rPr>
                <w:b/>
                <w:bCs/>
              </w:rPr>
              <w:t>2</w:t>
            </w:r>
          </w:p>
        </w:tc>
      </w:tr>
      <w:tr w:rsidR="00FA419B" w:rsidRPr="00CC50FD" w14:paraId="333970F7" w14:textId="77777777" w:rsidTr="00CC50FD">
        <w:trPr>
          <w:trHeight w:val="964"/>
        </w:trPr>
        <w:tc>
          <w:tcPr>
            <w:tcW w:w="1413" w:type="dxa"/>
            <w:vMerge w:val="restart"/>
            <w:shd w:val="clear" w:color="auto" w:fill="9CC2E5" w:themeFill="accent1" w:themeFillTint="99"/>
          </w:tcPr>
          <w:p w14:paraId="35F36C69" w14:textId="77777777" w:rsidR="00FA419B" w:rsidRPr="00CC50FD" w:rsidRDefault="00FA419B" w:rsidP="003A106C">
            <w:r w:rsidRPr="00CC50FD">
              <w:lastRenderedPageBreak/>
              <w:t>Obszar 11: Ład i struktura przestrzenna obszaru </w:t>
            </w:r>
          </w:p>
          <w:p w14:paraId="5692C59F" w14:textId="77777777" w:rsidR="00FA419B" w:rsidRPr="00CC50FD" w:rsidRDefault="00FA419B" w:rsidP="003A106C"/>
        </w:tc>
        <w:tc>
          <w:tcPr>
            <w:tcW w:w="2835" w:type="dxa"/>
            <w:vMerge w:val="restart"/>
          </w:tcPr>
          <w:p w14:paraId="57B4378E" w14:textId="59F35D82" w:rsidR="00FA419B" w:rsidRPr="00CC50FD" w:rsidRDefault="00FA419B" w:rsidP="003A106C">
            <w:r w:rsidRPr="00CC50FD">
              <w:t xml:space="preserve">Żary plasują się na </w:t>
            </w:r>
            <w:r w:rsidR="00080938" w:rsidRPr="00CC50FD">
              <w:t>drugim</w:t>
            </w:r>
            <w:r w:rsidRPr="00CC50FD">
              <w:t xml:space="preserve"> miejscu spośród miast porównawczych (wartość ujemna). Wyprzedza je zdecydowanie Nowa Só</w:t>
            </w:r>
            <w:r w:rsidR="00080938" w:rsidRPr="00CC50FD">
              <w:t xml:space="preserve">l. </w:t>
            </w:r>
            <w:r w:rsidRPr="00CC50FD">
              <w:t xml:space="preserve"> Za Żarami sklasyfikowany jest Żagań (wartość ujemna).</w:t>
            </w:r>
          </w:p>
        </w:tc>
        <w:tc>
          <w:tcPr>
            <w:tcW w:w="2693" w:type="dxa"/>
            <w:vMerge w:val="restart"/>
          </w:tcPr>
          <w:p w14:paraId="37C437C6" w14:textId="4B995F47" w:rsidR="00FA419B" w:rsidRPr="00CC50FD" w:rsidRDefault="00FA419B" w:rsidP="003A106C">
            <w:r w:rsidRPr="00CC50FD">
              <w:t>Żary pozostają na przedostatnim miejscy (wartość ujemna), wyprzedzając jedynie Żagań. Liderem je Nowa Sól</w:t>
            </w:r>
            <w:r w:rsidR="00080938" w:rsidRPr="00CC50FD">
              <w:t xml:space="preserve">. </w:t>
            </w:r>
            <w:r w:rsidRPr="00CC50FD">
              <w:t> </w:t>
            </w:r>
          </w:p>
        </w:tc>
        <w:tc>
          <w:tcPr>
            <w:tcW w:w="709" w:type="dxa"/>
          </w:tcPr>
          <w:p w14:paraId="7D9C8410" w14:textId="67C9ED03" w:rsidR="00FA419B" w:rsidRPr="00CC50FD" w:rsidRDefault="00080938" w:rsidP="003A106C">
            <w:r w:rsidRPr="00CC50FD">
              <w:t>2</w:t>
            </w:r>
          </w:p>
          <w:p w14:paraId="7883518B" w14:textId="4F46B0CF" w:rsidR="00FA419B" w:rsidRPr="00CC50FD" w:rsidRDefault="00080938" w:rsidP="003A106C">
            <w:r w:rsidRPr="00CC50FD">
              <w:t>2</w:t>
            </w:r>
          </w:p>
        </w:tc>
        <w:tc>
          <w:tcPr>
            <w:tcW w:w="850" w:type="dxa"/>
          </w:tcPr>
          <w:p w14:paraId="60DC4BE3" w14:textId="3E31C5A8" w:rsidR="00FA419B" w:rsidRPr="00CC50FD" w:rsidRDefault="00080938" w:rsidP="003A106C">
            <w:r w:rsidRPr="00CC50FD">
              <w:t>3</w:t>
            </w:r>
          </w:p>
          <w:p w14:paraId="7E58302F" w14:textId="28B256DA" w:rsidR="00FA419B" w:rsidRPr="00CC50FD" w:rsidRDefault="00080938" w:rsidP="003A106C">
            <w:r w:rsidRPr="00CC50FD">
              <w:t>3</w:t>
            </w:r>
          </w:p>
        </w:tc>
        <w:tc>
          <w:tcPr>
            <w:tcW w:w="709" w:type="dxa"/>
          </w:tcPr>
          <w:p w14:paraId="183D6A6C" w14:textId="77777777" w:rsidR="00FA419B" w:rsidRPr="00CC50FD" w:rsidRDefault="00FA419B" w:rsidP="003A106C">
            <w:r w:rsidRPr="00CC50FD">
              <w:t>1</w:t>
            </w:r>
          </w:p>
          <w:p w14:paraId="072861B7" w14:textId="77777777" w:rsidR="00FA419B" w:rsidRPr="00CC50FD" w:rsidRDefault="00FA419B" w:rsidP="003A106C">
            <w:r w:rsidRPr="00CC50FD">
              <w:t>1</w:t>
            </w:r>
          </w:p>
        </w:tc>
      </w:tr>
      <w:tr w:rsidR="00FA419B" w:rsidRPr="00CC50FD" w14:paraId="422DCE70" w14:textId="77777777" w:rsidTr="00CC50FD">
        <w:trPr>
          <w:trHeight w:val="1013"/>
        </w:trPr>
        <w:tc>
          <w:tcPr>
            <w:tcW w:w="1413" w:type="dxa"/>
            <w:vMerge/>
            <w:shd w:val="clear" w:color="auto" w:fill="9CC2E5" w:themeFill="accent1" w:themeFillTint="99"/>
          </w:tcPr>
          <w:p w14:paraId="3DAF7225" w14:textId="77777777" w:rsidR="00FA419B" w:rsidRPr="00CC50FD" w:rsidRDefault="00FA419B" w:rsidP="003A106C"/>
        </w:tc>
        <w:tc>
          <w:tcPr>
            <w:tcW w:w="2835" w:type="dxa"/>
            <w:vMerge/>
          </w:tcPr>
          <w:p w14:paraId="0EBADB0C" w14:textId="77777777" w:rsidR="00FA419B" w:rsidRPr="00CC50FD" w:rsidRDefault="00FA419B" w:rsidP="003A106C"/>
        </w:tc>
        <w:tc>
          <w:tcPr>
            <w:tcW w:w="2693" w:type="dxa"/>
            <w:vMerge/>
          </w:tcPr>
          <w:p w14:paraId="31721A86" w14:textId="77777777" w:rsidR="00FA419B" w:rsidRPr="00CC50FD" w:rsidRDefault="00FA419B" w:rsidP="003A106C"/>
        </w:tc>
        <w:tc>
          <w:tcPr>
            <w:tcW w:w="709" w:type="dxa"/>
          </w:tcPr>
          <w:p w14:paraId="0170653E" w14:textId="0323EA18" w:rsidR="00FA419B" w:rsidRPr="00CC50FD" w:rsidRDefault="00080938" w:rsidP="003A106C">
            <w:pPr>
              <w:rPr>
                <w:b/>
                <w:bCs/>
              </w:rPr>
            </w:pPr>
            <w:r w:rsidRPr="00CC50FD">
              <w:rPr>
                <w:b/>
                <w:bCs/>
              </w:rPr>
              <w:t>4</w:t>
            </w:r>
          </w:p>
        </w:tc>
        <w:tc>
          <w:tcPr>
            <w:tcW w:w="850" w:type="dxa"/>
          </w:tcPr>
          <w:p w14:paraId="4FE8B7D7" w14:textId="6AD55600" w:rsidR="00FA419B" w:rsidRPr="00CC50FD" w:rsidRDefault="00080938" w:rsidP="003A106C">
            <w:pPr>
              <w:rPr>
                <w:b/>
                <w:bCs/>
              </w:rPr>
            </w:pPr>
            <w:r w:rsidRPr="00CC50FD">
              <w:rPr>
                <w:b/>
                <w:bCs/>
              </w:rPr>
              <w:t>6</w:t>
            </w:r>
          </w:p>
        </w:tc>
        <w:tc>
          <w:tcPr>
            <w:tcW w:w="709" w:type="dxa"/>
          </w:tcPr>
          <w:p w14:paraId="2DE1956A" w14:textId="77777777" w:rsidR="00FA419B" w:rsidRPr="00CC50FD" w:rsidRDefault="00FA419B" w:rsidP="003A106C">
            <w:pPr>
              <w:rPr>
                <w:b/>
                <w:bCs/>
              </w:rPr>
            </w:pPr>
            <w:r w:rsidRPr="00CC50FD">
              <w:rPr>
                <w:b/>
                <w:bCs/>
              </w:rPr>
              <w:t>2</w:t>
            </w:r>
          </w:p>
        </w:tc>
      </w:tr>
      <w:tr w:rsidR="00FA419B" w:rsidRPr="00CC50FD" w14:paraId="08DCACC4" w14:textId="77777777" w:rsidTr="00CC50FD">
        <w:trPr>
          <w:trHeight w:val="767"/>
        </w:trPr>
        <w:tc>
          <w:tcPr>
            <w:tcW w:w="1413" w:type="dxa"/>
            <w:vMerge w:val="restart"/>
            <w:shd w:val="clear" w:color="auto" w:fill="FFC000"/>
          </w:tcPr>
          <w:p w14:paraId="72556ABD" w14:textId="77777777" w:rsidR="00FA419B" w:rsidRPr="00CC50FD" w:rsidRDefault="00FA419B" w:rsidP="003A106C">
            <w:r w:rsidRPr="00CC50FD">
              <w:t>Obszar 12: Lokalne środowisko przyrodnicze </w:t>
            </w:r>
          </w:p>
          <w:p w14:paraId="51ECBC83" w14:textId="77777777" w:rsidR="00FA419B" w:rsidRPr="00CC50FD" w:rsidRDefault="00FA419B" w:rsidP="003A106C"/>
        </w:tc>
        <w:tc>
          <w:tcPr>
            <w:tcW w:w="2835" w:type="dxa"/>
            <w:vMerge w:val="restart"/>
          </w:tcPr>
          <w:p w14:paraId="0208BE24" w14:textId="4DD775DE" w:rsidR="00FA419B" w:rsidRPr="00CC50FD" w:rsidRDefault="00FA419B" w:rsidP="003A106C">
            <w:r w:rsidRPr="00CC50FD">
              <w:t>Żary plasują się na drugim miejscu spośród miast porównawczych tuż za Żaganiem, wyprzedzając Nową Sól.</w:t>
            </w:r>
          </w:p>
        </w:tc>
        <w:tc>
          <w:tcPr>
            <w:tcW w:w="2693" w:type="dxa"/>
            <w:vMerge w:val="restart"/>
          </w:tcPr>
          <w:p w14:paraId="247328AC" w14:textId="339D7479" w:rsidR="00FA419B" w:rsidRPr="00CC50FD" w:rsidRDefault="00FA419B" w:rsidP="003A106C">
            <w:r w:rsidRPr="00CC50FD">
              <w:t>Żary zajmują pierwsze miejsce, wyprzedzając znacznie Nową Sól</w:t>
            </w:r>
            <w:r w:rsidR="00080938" w:rsidRPr="00CC50FD">
              <w:t xml:space="preserve"> i</w:t>
            </w:r>
            <w:r w:rsidRPr="00CC50FD">
              <w:t> Żagań</w:t>
            </w:r>
            <w:r w:rsidR="00080938" w:rsidRPr="00CC50FD">
              <w:t>.</w:t>
            </w:r>
          </w:p>
          <w:p w14:paraId="70EC0DCC" w14:textId="77777777" w:rsidR="00FA419B" w:rsidRPr="00CC50FD" w:rsidRDefault="00FA419B" w:rsidP="003A106C"/>
        </w:tc>
        <w:tc>
          <w:tcPr>
            <w:tcW w:w="709" w:type="dxa"/>
          </w:tcPr>
          <w:p w14:paraId="2ADA4E9C" w14:textId="76E0FE20" w:rsidR="00FA419B" w:rsidRPr="00CC50FD" w:rsidRDefault="00080938" w:rsidP="003A106C">
            <w:r w:rsidRPr="00CC50FD">
              <w:t>2</w:t>
            </w:r>
          </w:p>
          <w:p w14:paraId="1406881F" w14:textId="77777777" w:rsidR="00FA419B" w:rsidRPr="00CC50FD" w:rsidRDefault="00FA419B" w:rsidP="003A106C">
            <w:r w:rsidRPr="00CC50FD">
              <w:t>1</w:t>
            </w:r>
          </w:p>
        </w:tc>
        <w:tc>
          <w:tcPr>
            <w:tcW w:w="850" w:type="dxa"/>
          </w:tcPr>
          <w:p w14:paraId="59A0D1BF" w14:textId="77777777" w:rsidR="00FA419B" w:rsidRPr="00CC50FD" w:rsidRDefault="00FA419B" w:rsidP="003A106C">
            <w:r w:rsidRPr="00CC50FD">
              <w:t>1</w:t>
            </w:r>
          </w:p>
          <w:p w14:paraId="099B66FB" w14:textId="5EF1354D" w:rsidR="00FA419B" w:rsidRPr="00CC50FD" w:rsidRDefault="00080938" w:rsidP="003A106C">
            <w:r w:rsidRPr="00CC50FD">
              <w:t>3</w:t>
            </w:r>
          </w:p>
        </w:tc>
        <w:tc>
          <w:tcPr>
            <w:tcW w:w="709" w:type="dxa"/>
          </w:tcPr>
          <w:p w14:paraId="29CA4F73" w14:textId="086E89B7" w:rsidR="00FA419B" w:rsidRPr="00CC50FD" w:rsidRDefault="00080938" w:rsidP="003A106C">
            <w:r w:rsidRPr="00CC50FD">
              <w:t>3</w:t>
            </w:r>
          </w:p>
          <w:p w14:paraId="5156C552" w14:textId="77777777" w:rsidR="00FA419B" w:rsidRPr="00CC50FD" w:rsidRDefault="00FA419B" w:rsidP="003A106C">
            <w:r w:rsidRPr="00CC50FD">
              <w:t>2</w:t>
            </w:r>
          </w:p>
        </w:tc>
      </w:tr>
      <w:tr w:rsidR="00FA419B" w:rsidRPr="00CC50FD" w14:paraId="034D38FD" w14:textId="77777777" w:rsidTr="00CC50FD">
        <w:trPr>
          <w:trHeight w:val="550"/>
        </w:trPr>
        <w:tc>
          <w:tcPr>
            <w:tcW w:w="1413" w:type="dxa"/>
            <w:vMerge/>
            <w:shd w:val="clear" w:color="auto" w:fill="FFC000"/>
          </w:tcPr>
          <w:p w14:paraId="14DC83BE" w14:textId="77777777" w:rsidR="00FA419B" w:rsidRPr="00CC50FD" w:rsidRDefault="00FA419B" w:rsidP="003A106C"/>
        </w:tc>
        <w:tc>
          <w:tcPr>
            <w:tcW w:w="2835" w:type="dxa"/>
            <w:vMerge/>
          </w:tcPr>
          <w:p w14:paraId="6AB6CDC3" w14:textId="77777777" w:rsidR="00FA419B" w:rsidRPr="00CC50FD" w:rsidRDefault="00FA419B" w:rsidP="003A106C"/>
        </w:tc>
        <w:tc>
          <w:tcPr>
            <w:tcW w:w="2693" w:type="dxa"/>
            <w:vMerge/>
          </w:tcPr>
          <w:p w14:paraId="0200A575" w14:textId="77777777" w:rsidR="00FA419B" w:rsidRPr="00CC50FD" w:rsidRDefault="00FA419B" w:rsidP="003A106C"/>
        </w:tc>
        <w:tc>
          <w:tcPr>
            <w:tcW w:w="709" w:type="dxa"/>
          </w:tcPr>
          <w:p w14:paraId="6DD83764" w14:textId="77777777" w:rsidR="00FA419B" w:rsidRPr="00CC50FD" w:rsidRDefault="00FA419B" w:rsidP="003A106C">
            <w:pPr>
              <w:rPr>
                <w:b/>
                <w:bCs/>
              </w:rPr>
            </w:pPr>
            <w:r w:rsidRPr="00CC50FD">
              <w:rPr>
                <w:b/>
                <w:bCs/>
              </w:rPr>
              <w:t>3</w:t>
            </w:r>
          </w:p>
        </w:tc>
        <w:tc>
          <w:tcPr>
            <w:tcW w:w="850" w:type="dxa"/>
          </w:tcPr>
          <w:p w14:paraId="1AD1F8E2" w14:textId="4136F7F1" w:rsidR="00FA419B" w:rsidRPr="00CC50FD" w:rsidRDefault="00080938" w:rsidP="003A106C">
            <w:pPr>
              <w:rPr>
                <w:b/>
                <w:bCs/>
              </w:rPr>
            </w:pPr>
            <w:r w:rsidRPr="00CC50FD">
              <w:rPr>
                <w:b/>
                <w:bCs/>
              </w:rPr>
              <w:t>4</w:t>
            </w:r>
          </w:p>
        </w:tc>
        <w:tc>
          <w:tcPr>
            <w:tcW w:w="709" w:type="dxa"/>
          </w:tcPr>
          <w:p w14:paraId="0445C2C2" w14:textId="545FBD7D" w:rsidR="00FA419B" w:rsidRPr="00CC50FD" w:rsidRDefault="00080938" w:rsidP="003A106C">
            <w:pPr>
              <w:rPr>
                <w:b/>
                <w:bCs/>
              </w:rPr>
            </w:pPr>
            <w:r w:rsidRPr="00CC50FD">
              <w:rPr>
                <w:b/>
                <w:bCs/>
              </w:rPr>
              <w:t>5</w:t>
            </w:r>
          </w:p>
        </w:tc>
      </w:tr>
      <w:tr w:rsidR="00DB1180" w:rsidRPr="00CC50FD" w14:paraId="32332CDB" w14:textId="77777777" w:rsidTr="00CC50FD">
        <w:trPr>
          <w:trHeight w:val="368"/>
        </w:trPr>
        <w:tc>
          <w:tcPr>
            <w:tcW w:w="1413" w:type="dxa"/>
            <w:vMerge w:val="restart"/>
            <w:vAlign w:val="center"/>
          </w:tcPr>
          <w:p w14:paraId="448FF157" w14:textId="77777777" w:rsidR="00DB1180" w:rsidRPr="00CC50FD" w:rsidRDefault="00DB1180" w:rsidP="00DB1180">
            <w:pPr>
              <w:rPr>
                <w:b/>
              </w:rPr>
            </w:pPr>
            <w:r w:rsidRPr="00CC50FD">
              <w:rPr>
                <w:b/>
              </w:rPr>
              <w:t xml:space="preserve">Razem </w:t>
            </w:r>
          </w:p>
        </w:tc>
        <w:tc>
          <w:tcPr>
            <w:tcW w:w="2835" w:type="dxa"/>
          </w:tcPr>
          <w:p w14:paraId="612A6F9F" w14:textId="77777777" w:rsidR="00DB1180" w:rsidRPr="00CC50FD" w:rsidRDefault="00DB1180" w:rsidP="003A106C">
            <w:pPr>
              <w:rPr>
                <w:b/>
              </w:rPr>
            </w:pPr>
            <w:r w:rsidRPr="00CC50FD">
              <w:rPr>
                <w:b/>
              </w:rPr>
              <w:t>Wartość wskaźnika</w:t>
            </w:r>
          </w:p>
        </w:tc>
        <w:tc>
          <w:tcPr>
            <w:tcW w:w="2693" w:type="dxa"/>
          </w:tcPr>
          <w:p w14:paraId="34090F83" w14:textId="77777777" w:rsidR="00DB1180" w:rsidRPr="00CC50FD" w:rsidRDefault="00DB1180" w:rsidP="003A106C">
            <w:pPr>
              <w:rPr>
                <w:b/>
              </w:rPr>
            </w:pPr>
          </w:p>
        </w:tc>
        <w:tc>
          <w:tcPr>
            <w:tcW w:w="709" w:type="dxa"/>
          </w:tcPr>
          <w:p w14:paraId="5AA4EBE1" w14:textId="65E5D42D" w:rsidR="00DB1180" w:rsidRPr="00CC50FD" w:rsidRDefault="00DB1180" w:rsidP="003A106C">
            <w:pPr>
              <w:rPr>
                <w:b/>
                <w:highlight w:val="yellow"/>
              </w:rPr>
            </w:pPr>
            <w:r w:rsidRPr="00CC50FD">
              <w:rPr>
                <w:b/>
              </w:rPr>
              <w:t>16</w:t>
            </w:r>
          </w:p>
        </w:tc>
        <w:tc>
          <w:tcPr>
            <w:tcW w:w="850" w:type="dxa"/>
            <w:shd w:val="clear" w:color="auto" w:fill="auto"/>
          </w:tcPr>
          <w:p w14:paraId="03FA0809" w14:textId="75BDF909" w:rsidR="00DB1180" w:rsidRPr="00CC50FD" w:rsidRDefault="00DB1180" w:rsidP="003A106C">
            <w:pPr>
              <w:rPr>
                <w:b/>
              </w:rPr>
            </w:pPr>
            <w:r w:rsidRPr="00CC50FD">
              <w:rPr>
                <w:b/>
              </w:rPr>
              <w:t>27</w:t>
            </w:r>
          </w:p>
        </w:tc>
        <w:tc>
          <w:tcPr>
            <w:tcW w:w="709" w:type="dxa"/>
            <w:shd w:val="clear" w:color="auto" w:fill="auto"/>
          </w:tcPr>
          <w:p w14:paraId="2A12E6F6" w14:textId="74A274FE" w:rsidR="00DB1180" w:rsidRPr="00CC50FD" w:rsidRDefault="00DB1180" w:rsidP="003A106C">
            <w:pPr>
              <w:rPr>
                <w:b/>
              </w:rPr>
            </w:pPr>
            <w:r w:rsidRPr="00CC50FD">
              <w:rPr>
                <w:b/>
              </w:rPr>
              <w:t>28</w:t>
            </w:r>
          </w:p>
        </w:tc>
      </w:tr>
      <w:tr w:rsidR="00DB1180" w:rsidRPr="00CC50FD" w14:paraId="1719ADBF" w14:textId="77777777" w:rsidTr="00CC50FD">
        <w:trPr>
          <w:trHeight w:val="368"/>
        </w:trPr>
        <w:tc>
          <w:tcPr>
            <w:tcW w:w="1413" w:type="dxa"/>
            <w:vMerge/>
          </w:tcPr>
          <w:p w14:paraId="704C9DF4" w14:textId="77777777" w:rsidR="00DB1180" w:rsidRPr="00CC50FD" w:rsidRDefault="00DB1180" w:rsidP="003A106C">
            <w:pPr>
              <w:rPr>
                <w:b/>
              </w:rPr>
            </w:pPr>
          </w:p>
        </w:tc>
        <w:tc>
          <w:tcPr>
            <w:tcW w:w="2835" w:type="dxa"/>
          </w:tcPr>
          <w:p w14:paraId="46549606" w14:textId="77777777" w:rsidR="00DB1180" w:rsidRPr="00CC50FD" w:rsidRDefault="00DB1180" w:rsidP="003A106C">
            <w:pPr>
              <w:rPr>
                <w:b/>
              </w:rPr>
            </w:pPr>
            <w:r w:rsidRPr="00CC50FD">
              <w:rPr>
                <w:b/>
              </w:rPr>
              <w:t>Dynamika rozwoju</w:t>
            </w:r>
          </w:p>
        </w:tc>
        <w:tc>
          <w:tcPr>
            <w:tcW w:w="2693" w:type="dxa"/>
          </w:tcPr>
          <w:p w14:paraId="360C2BBD" w14:textId="77777777" w:rsidR="00DB1180" w:rsidRPr="00CC50FD" w:rsidRDefault="00DB1180" w:rsidP="003A106C">
            <w:pPr>
              <w:rPr>
                <w:b/>
              </w:rPr>
            </w:pPr>
          </w:p>
        </w:tc>
        <w:tc>
          <w:tcPr>
            <w:tcW w:w="709" w:type="dxa"/>
          </w:tcPr>
          <w:p w14:paraId="0BF6B70C" w14:textId="5EC5D0BD" w:rsidR="00DB1180" w:rsidRPr="00CC50FD" w:rsidRDefault="00DB1180" w:rsidP="003A106C">
            <w:pPr>
              <w:rPr>
                <w:b/>
                <w:highlight w:val="yellow"/>
              </w:rPr>
            </w:pPr>
            <w:r w:rsidRPr="00CC50FD">
              <w:rPr>
                <w:b/>
              </w:rPr>
              <w:t>22</w:t>
            </w:r>
          </w:p>
        </w:tc>
        <w:tc>
          <w:tcPr>
            <w:tcW w:w="850" w:type="dxa"/>
            <w:shd w:val="clear" w:color="auto" w:fill="auto"/>
          </w:tcPr>
          <w:p w14:paraId="12D9027B" w14:textId="092D105C" w:rsidR="00DB1180" w:rsidRPr="00CC50FD" w:rsidRDefault="00DB1180" w:rsidP="003A106C">
            <w:pPr>
              <w:rPr>
                <w:b/>
              </w:rPr>
            </w:pPr>
            <w:r w:rsidRPr="00CC50FD">
              <w:rPr>
                <w:b/>
              </w:rPr>
              <w:t>30</w:t>
            </w:r>
          </w:p>
        </w:tc>
        <w:tc>
          <w:tcPr>
            <w:tcW w:w="709" w:type="dxa"/>
            <w:shd w:val="clear" w:color="auto" w:fill="auto"/>
          </w:tcPr>
          <w:p w14:paraId="2A40E839" w14:textId="1F59E836" w:rsidR="00DB1180" w:rsidRPr="00CC50FD" w:rsidRDefault="00DB1180" w:rsidP="003A106C">
            <w:pPr>
              <w:rPr>
                <w:b/>
              </w:rPr>
            </w:pPr>
            <w:r w:rsidRPr="00CC50FD">
              <w:rPr>
                <w:b/>
              </w:rPr>
              <w:t>20</w:t>
            </w:r>
          </w:p>
        </w:tc>
      </w:tr>
      <w:tr w:rsidR="00DB1180" w:rsidRPr="00CC50FD" w14:paraId="0E4557BD" w14:textId="77777777" w:rsidTr="00CC50FD">
        <w:trPr>
          <w:trHeight w:val="356"/>
        </w:trPr>
        <w:tc>
          <w:tcPr>
            <w:tcW w:w="1413" w:type="dxa"/>
            <w:vMerge/>
          </w:tcPr>
          <w:p w14:paraId="4F2B4676" w14:textId="77777777" w:rsidR="00DB1180" w:rsidRPr="00CC50FD" w:rsidRDefault="00DB1180" w:rsidP="003A106C">
            <w:pPr>
              <w:rPr>
                <w:b/>
              </w:rPr>
            </w:pPr>
          </w:p>
        </w:tc>
        <w:tc>
          <w:tcPr>
            <w:tcW w:w="2835" w:type="dxa"/>
          </w:tcPr>
          <w:p w14:paraId="4A3B010C" w14:textId="77777777" w:rsidR="00DB1180" w:rsidRPr="00CC50FD" w:rsidRDefault="00DB1180" w:rsidP="003A106C">
            <w:pPr>
              <w:rPr>
                <w:b/>
              </w:rPr>
            </w:pPr>
            <w:r w:rsidRPr="00CC50FD">
              <w:rPr>
                <w:b/>
              </w:rPr>
              <w:t>Suma</w:t>
            </w:r>
          </w:p>
        </w:tc>
        <w:tc>
          <w:tcPr>
            <w:tcW w:w="2693" w:type="dxa"/>
          </w:tcPr>
          <w:p w14:paraId="54A3FD94" w14:textId="77777777" w:rsidR="00DB1180" w:rsidRPr="00CC50FD" w:rsidRDefault="00DB1180" w:rsidP="003A106C">
            <w:pPr>
              <w:rPr>
                <w:b/>
              </w:rPr>
            </w:pPr>
          </w:p>
        </w:tc>
        <w:tc>
          <w:tcPr>
            <w:tcW w:w="709" w:type="dxa"/>
          </w:tcPr>
          <w:p w14:paraId="3243F6E6" w14:textId="35CAC2D3" w:rsidR="00DB1180" w:rsidRPr="00CC50FD" w:rsidRDefault="00DB1180" w:rsidP="003A106C">
            <w:pPr>
              <w:rPr>
                <w:b/>
              </w:rPr>
            </w:pPr>
            <w:r w:rsidRPr="00CC50FD">
              <w:rPr>
                <w:b/>
              </w:rPr>
              <w:t>38</w:t>
            </w:r>
          </w:p>
        </w:tc>
        <w:tc>
          <w:tcPr>
            <w:tcW w:w="850" w:type="dxa"/>
            <w:shd w:val="clear" w:color="auto" w:fill="auto"/>
          </w:tcPr>
          <w:p w14:paraId="7463B11D" w14:textId="4B0349C1" w:rsidR="00DB1180" w:rsidRPr="00CC50FD" w:rsidRDefault="00DB1180" w:rsidP="003A106C">
            <w:pPr>
              <w:rPr>
                <w:b/>
              </w:rPr>
            </w:pPr>
            <w:r w:rsidRPr="00CC50FD">
              <w:rPr>
                <w:b/>
              </w:rPr>
              <w:t>57</w:t>
            </w:r>
          </w:p>
        </w:tc>
        <w:tc>
          <w:tcPr>
            <w:tcW w:w="709" w:type="dxa"/>
            <w:shd w:val="clear" w:color="auto" w:fill="auto"/>
          </w:tcPr>
          <w:p w14:paraId="2F8EA464" w14:textId="2059D1F7" w:rsidR="00DB1180" w:rsidRPr="00CC50FD" w:rsidRDefault="00DB1180" w:rsidP="003A106C">
            <w:pPr>
              <w:rPr>
                <w:b/>
              </w:rPr>
            </w:pPr>
            <w:r w:rsidRPr="00CC50FD">
              <w:rPr>
                <w:b/>
              </w:rPr>
              <w:t>48</w:t>
            </w:r>
          </w:p>
        </w:tc>
      </w:tr>
    </w:tbl>
    <w:p w14:paraId="1543A51C" w14:textId="77777777" w:rsidR="00FA419B" w:rsidRPr="00116554" w:rsidRDefault="00FA419B" w:rsidP="00FA419B">
      <w:pPr>
        <w:rPr>
          <w:i/>
        </w:rPr>
      </w:pPr>
      <w:r w:rsidRPr="00116554">
        <w:rPr>
          <w:i/>
        </w:rPr>
        <w:t xml:space="preserve">Źródło: </w:t>
      </w:r>
      <w:r>
        <w:rPr>
          <w:i/>
        </w:rPr>
        <w:t>Opracowanie własne na podstawie danych z Monitora Rozwoju Lokalnego</w:t>
      </w:r>
    </w:p>
    <w:p w14:paraId="5F21E688" w14:textId="77777777" w:rsidR="00FA419B" w:rsidRDefault="00FA419B" w:rsidP="00FA419B"/>
    <w:p w14:paraId="3295D490" w14:textId="18302694" w:rsidR="00FA419B" w:rsidRPr="001E41C4" w:rsidRDefault="00FA419B" w:rsidP="00FA419B">
      <w:pPr>
        <w:jc w:val="both"/>
      </w:pPr>
      <w:r w:rsidRPr="001E41C4">
        <w:t>Analiza konkurencyjności miast Żary</w:t>
      </w:r>
      <w:r w:rsidR="00080938">
        <w:t xml:space="preserve"> i Żagań</w:t>
      </w:r>
      <w:r w:rsidRPr="001E41C4">
        <w:t xml:space="preserve"> została wykonana w oparciu o sytuację i dynamikę zmian w 12 obszarach wymienionych w M</w:t>
      </w:r>
      <w:r w:rsidR="00080938">
        <w:t xml:space="preserve">onitorze </w:t>
      </w:r>
      <w:r w:rsidRPr="001E41C4">
        <w:t>R</w:t>
      </w:r>
      <w:r w:rsidR="00080938">
        <w:t xml:space="preserve">ozwoju </w:t>
      </w:r>
      <w:r w:rsidRPr="001E41C4">
        <w:t>L</w:t>
      </w:r>
      <w:r w:rsidR="00080938">
        <w:t xml:space="preserve">okalnego – narzędziu przygotowanym przez Związek Miast Polskich do wykonywania analiz strategicznych w samorządach. Do porównania wprowadzony został jeszcze jeden ośrodek z tej samej kategorii miast – Nowa Sól. </w:t>
      </w:r>
      <w:r w:rsidRPr="001E41C4">
        <w:t xml:space="preserve">W analizie przyjęto punktację: </w:t>
      </w:r>
    </w:p>
    <w:p w14:paraId="39085408" w14:textId="77777777" w:rsidR="00FA419B" w:rsidRPr="001E41C4" w:rsidRDefault="00FA419B" w:rsidP="00FA419B">
      <w:pPr>
        <w:numPr>
          <w:ilvl w:val="0"/>
          <w:numId w:val="1"/>
        </w:numPr>
        <w:jc w:val="both"/>
      </w:pPr>
      <w:r w:rsidRPr="001E41C4">
        <w:t xml:space="preserve">za najlepszy wynik – 1 pkt, </w:t>
      </w:r>
    </w:p>
    <w:p w14:paraId="0F8C87D5" w14:textId="7CE95EB4" w:rsidR="00FA419B" w:rsidRPr="001E41C4" w:rsidRDefault="00FA419B" w:rsidP="00FA419B">
      <w:pPr>
        <w:numPr>
          <w:ilvl w:val="0"/>
          <w:numId w:val="1"/>
        </w:numPr>
        <w:jc w:val="both"/>
      </w:pPr>
      <w:r w:rsidRPr="001E41C4">
        <w:t>za drugi</w:t>
      </w:r>
      <w:r w:rsidR="00080938">
        <w:t xml:space="preserve"> i</w:t>
      </w:r>
      <w:r w:rsidRPr="001E41C4">
        <w:t xml:space="preserve"> trzeci  odpowiednio 2</w:t>
      </w:r>
      <w:r w:rsidR="00080938">
        <w:t xml:space="preserve"> i</w:t>
      </w:r>
      <w:r w:rsidRPr="001E41C4">
        <w:t xml:space="preserve"> 3 punkty. </w:t>
      </w:r>
    </w:p>
    <w:p w14:paraId="1D43B073" w14:textId="77777777" w:rsidR="00FA419B" w:rsidRDefault="00FA419B" w:rsidP="00FA419B">
      <w:pPr>
        <w:jc w:val="both"/>
      </w:pPr>
      <w:r w:rsidRPr="001E41C4">
        <w:t>Na najlepszy wynik wskazuje najniższa suma punktów.</w:t>
      </w:r>
    </w:p>
    <w:p w14:paraId="30D8C626" w14:textId="3E5A4FF4" w:rsidR="00B32487" w:rsidRPr="001E41C4" w:rsidRDefault="00B32487" w:rsidP="00FA419B">
      <w:pPr>
        <w:jc w:val="both"/>
        <w:rPr>
          <w:b/>
          <w:bCs/>
        </w:rPr>
      </w:pPr>
      <w:r>
        <w:t xml:space="preserve">Biorąc pod </w:t>
      </w:r>
      <w:r w:rsidR="005E1E6C">
        <w:t>uwagę</w:t>
      </w:r>
      <w:r>
        <w:t xml:space="preserve"> ogólny wskaźnik rozwoju, Żary znacznie wyprzedzają obydwa pozostałe miasta, które znajdują się praktycznie na tym samym poziomie. Wskaźnik dynamiki zmian pokazuje odmienną sytuację. Najwyższy wskaźnik ma Nowa Sól nieznacznie wyprzedzając Żary. Żagań pod tym względem wyraźnie ustępuje obydwu miastom.</w:t>
      </w:r>
    </w:p>
    <w:p w14:paraId="2551C1B8" w14:textId="5FB8D76D" w:rsidR="00FE6807" w:rsidRDefault="00FE6807" w:rsidP="00FA419B">
      <w:pPr>
        <w:jc w:val="both"/>
      </w:pPr>
      <w:r>
        <w:t xml:space="preserve">W poszczególnych obszarach obydwa miasta –rdzenie ŻŻOF najlepiej prezentują się w obszarze gospodarczym, rynku pracy i dostępności siły roboczej,  dostępności i jakości usług i infrastruktury. Najniżej ocenione zostały </w:t>
      </w:r>
      <w:r w:rsidR="00CC50FD">
        <w:br/>
      </w:r>
      <w:r>
        <w:t xml:space="preserve">w obszarach: dostępność i jakość zasobów mieszkaniowych, dostępność komunikacyjna wewnętrzna </w:t>
      </w:r>
      <w:r w:rsidR="00CC50FD">
        <w:br/>
      </w:r>
      <w:r>
        <w:t>i zewnętrzna oraz ład i struktura przestrzenna obszaru.</w:t>
      </w:r>
    </w:p>
    <w:p w14:paraId="48D4FCD9" w14:textId="76D189F9" w:rsidR="00FA419B" w:rsidRPr="001E41C4" w:rsidRDefault="00FA419B" w:rsidP="00FA419B">
      <w:pPr>
        <w:jc w:val="both"/>
      </w:pPr>
      <w:r w:rsidRPr="001E41C4">
        <w:t xml:space="preserve">Analiza pokazuje dość dużą konkurencyjność Żar w stosunku do wybranych miast województwa lubuskiego. Zarówno sytuacja jak i dynamika zmian wypada korzystnie na tle Żagania i Nowej Soli. </w:t>
      </w:r>
      <w:r>
        <w:t xml:space="preserve">Przewaga </w:t>
      </w:r>
      <w:r w:rsidRPr="001E41C4">
        <w:t xml:space="preserve">jest widoczna w 10 z 12 obszarów. Wyraźnie najsłabszą stroną Żar są obszary: 10-Dostępność komunikacyjna (zewnętrzna </w:t>
      </w:r>
      <w:r w:rsidR="00CC50FD">
        <w:br/>
      </w:r>
      <w:r w:rsidRPr="001E41C4">
        <w:t>i wewnętrzna) i 11 - Ład i struktura przestrzenna obszaru.</w:t>
      </w:r>
    </w:p>
    <w:p w14:paraId="2AEF36B9" w14:textId="1C592D2F" w:rsidR="00FA419B" w:rsidRDefault="00FA419B" w:rsidP="00FA419B">
      <w:pPr>
        <w:jc w:val="both"/>
      </w:pPr>
      <w:r w:rsidRPr="001E41C4">
        <w:lastRenderedPageBreak/>
        <w:t>Najlepszy wynik miasto Żary uzyskuje w obszarach: 1- Potencjał i konkurencyjność lokalnej gospodarki; 3- Sy</w:t>
      </w:r>
      <w:r w:rsidR="00CC50FD">
        <w:t xml:space="preserve">tuacja materialna mieszkańców; 8- Poziom bezpieczeństwa; </w:t>
      </w:r>
      <w:r w:rsidRPr="001E41C4">
        <w:t>9- Sytuacja demograficzna; 12- Lokalne środowisko przyrodnicze.</w:t>
      </w:r>
    </w:p>
    <w:p w14:paraId="3D40C80E" w14:textId="2062B60B" w:rsidR="00FE6807" w:rsidRDefault="00FE6807" w:rsidP="00FA419B">
      <w:pPr>
        <w:jc w:val="both"/>
      </w:pPr>
      <w:r>
        <w:t xml:space="preserve">Żagań </w:t>
      </w:r>
      <w:r w:rsidR="003E528D">
        <w:t>najwyższy ranking uzyskał tylko w obszarze: rynek pracy i kwalifikacje siły roboczej.</w:t>
      </w:r>
    </w:p>
    <w:p w14:paraId="5EFB5D5D" w14:textId="77777777" w:rsidR="00A91C9D" w:rsidRDefault="00A91C9D"/>
    <w:sectPr w:rsidR="00A91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661FC"/>
    <w:multiLevelType w:val="hybridMultilevel"/>
    <w:tmpl w:val="7BE8DB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4A10A78"/>
    <w:multiLevelType w:val="hybridMultilevel"/>
    <w:tmpl w:val="7F50A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CE"/>
    <w:rsid w:val="00021D6E"/>
    <w:rsid w:val="00080938"/>
    <w:rsid w:val="00113333"/>
    <w:rsid w:val="00230F2B"/>
    <w:rsid w:val="003E528D"/>
    <w:rsid w:val="005E1E6C"/>
    <w:rsid w:val="00A91C9D"/>
    <w:rsid w:val="00B32487"/>
    <w:rsid w:val="00BB4008"/>
    <w:rsid w:val="00CC50FD"/>
    <w:rsid w:val="00D9739F"/>
    <w:rsid w:val="00DA48CE"/>
    <w:rsid w:val="00DB1180"/>
    <w:rsid w:val="00E772EA"/>
    <w:rsid w:val="00FA419B"/>
    <w:rsid w:val="00FE6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4F12"/>
  <w15:chartTrackingRefBased/>
  <w15:docId w15:val="{F8935CB7-72E9-4F6C-8866-6F1A7849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19B"/>
    <w:pPr>
      <w:spacing w:before="100" w:after="200" w:line="276" w:lineRule="auto"/>
    </w:pPr>
    <w:rPr>
      <w:rFonts w:ascii="Calibri" w:eastAsia="Times New Roman"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19B"/>
    <w:pPr>
      <w:ind w:left="720"/>
      <w:contextualSpacing/>
    </w:pPr>
  </w:style>
  <w:style w:type="paragraph" w:styleId="Tekstdymka">
    <w:name w:val="Balloon Text"/>
    <w:basedOn w:val="Normalny"/>
    <w:link w:val="TekstdymkaZnak"/>
    <w:uiPriority w:val="99"/>
    <w:semiHidden/>
    <w:unhideWhenUsed/>
    <w:rsid w:val="0011333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333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858</Words>
  <Characters>5150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dc:creator>
  <cp:keywords/>
  <dc:description/>
  <cp:lastModifiedBy>PC 1</cp:lastModifiedBy>
  <cp:revision>9</cp:revision>
  <cp:lastPrinted>2020-12-14T13:40:00Z</cp:lastPrinted>
  <dcterms:created xsi:type="dcterms:W3CDTF">2020-11-24T13:37:00Z</dcterms:created>
  <dcterms:modified xsi:type="dcterms:W3CDTF">2020-12-14T13:40:00Z</dcterms:modified>
</cp:coreProperties>
</file>